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FF" w:rsidRDefault="00B30D5C">
      <w:pPr>
        <w:spacing w:after="0" w:line="240" w:lineRule="auto"/>
        <w:ind w:left="1701" w:right="1134" w:firstLine="0"/>
        <w:contextualSpacing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Информация о ходе реализации государственной программы «Развитие информационного общества и средств массовой информации в Республике Тыва на 2021-2022 год» за   2022 год</w:t>
      </w:r>
    </w:p>
    <w:p w:rsidR="001107FF" w:rsidRDefault="001107FF">
      <w:pPr>
        <w:spacing w:after="0" w:line="240" w:lineRule="auto"/>
        <w:ind w:left="1" w:hanging="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Общая часть: 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Министерство цифрового развития Республики Тыва осуществляет государственную политику и нормативно-правовое регулирование в пределах своей компетенции в сфере связи, информатизации, формирования электронного правительства и инструментов электронной демокра</w:t>
      </w:r>
      <w:r>
        <w:rPr>
          <w:rFonts w:ascii="Times New Roman" w:hAnsi="Times New Roman" w:cs="Times New Roman"/>
          <w:bCs/>
          <w:sz w:val="28"/>
          <w:szCs w:val="28"/>
        </w:rPr>
        <w:t>тии, массовых коммуникаций и средств массовой информации (в том числе электронных), издательской и полиграфической деятельности, а также координацию деятельности в этих сферах иных органов исполнительной власти Республики Тыва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Государственная программа «Ра</w:t>
      </w:r>
      <w:r>
        <w:rPr>
          <w:rFonts w:ascii="Times New Roman" w:hAnsi="Times New Roman" w:cs="Times New Roman"/>
          <w:bCs/>
          <w:sz w:val="28"/>
          <w:szCs w:val="28"/>
        </w:rPr>
        <w:t>звитие информационного общества и средств массовой информации в Республике Тыва на 2021– 2025 годы» утверждена постановлением Правительства Республики Тыва от 08.10.2020 № 488. Основным исполнителем и координатором государственной программы является Минист</w:t>
      </w:r>
      <w:r>
        <w:rPr>
          <w:rFonts w:ascii="Times New Roman" w:hAnsi="Times New Roman" w:cs="Times New Roman"/>
          <w:bCs/>
          <w:sz w:val="28"/>
          <w:szCs w:val="28"/>
        </w:rPr>
        <w:t>ерство цифрового развития Республики Тыва. Целью Программы является развитие информационного общества и средств массовой информации в Республике Тыва. Цели государственной программы достигается путем решения следующих задач: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1) цифровая трансформация ключе</w:t>
      </w:r>
      <w:r>
        <w:rPr>
          <w:rFonts w:ascii="Times New Roman" w:hAnsi="Times New Roman" w:cs="Times New Roman"/>
          <w:bCs/>
          <w:sz w:val="28"/>
          <w:szCs w:val="28"/>
        </w:rPr>
        <w:t>вых отраслей экономики, социальной сферы и государственного управления;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2) обеспечение получения государственных и муниципальных услуг на базе многофункциональных центров;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3) развитие средств массовой информации, книгоиздания и полиграфии.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  <w:t>В структуре гос</w:t>
      </w:r>
      <w:r>
        <w:rPr>
          <w:rFonts w:ascii="Times New Roman" w:hAnsi="Times New Roman" w:cs="Times New Roman"/>
          <w:bCs/>
          <w:sz w:val="28"/>
          <w:szCs w:val="28"/>
        </w:rPr>
        <w:t>ударственной программы предусмотрено 3 подпрограммы. В отчетном периоде реализовывались всего 3 подпрограммы.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 Результаты реализации государственной программы в отчетном году.</w:t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на едином портале государственных (муниципальных) услуг (далее – ЕПГУ)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b/>
          <w:sz w:val="28"/>
          <w:szCs w:val="28"/>
        </w:rPr>
        <w:t>зарегистрировано 103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в возрасте 14 лет и старше.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07FF" w:rsidRDefault="00B30D5C">
      <w:pPr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из 105 услуг, доступных на ПГС, реализовано в электронном виде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что составляет 44,5 процента от общего числа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и муниципальных услуг.  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За 2022 год электронном виде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органы местного самоуправления поступило более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39 466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iCs/>
          <w:sz w:val="28"/>
          <w:szCs w:val="28"/>
        </w:rPr>
        <w:t>16,8%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общего количества по муниципальным услугам.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2022 году реализованы в электроном формате следующие услуги:</w:t>
      </w:r>
    </w:p>
    <w:p w:rsidR="001107FF" w:rsidRDefault="00B30D5C">
      <w:pPr>
        <w:spacing w:after="0"/>
        <w:ind w:left="0" w:firstLine="709"/>
        <w:contextualSpacing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1107FF" w:rsidRDefault="00B30D5C">
      <w:pPr>
        <w:spacing w:after="0"/>
        <w:ind w:left="0" w:firstLine="709"/>
        <w:contextualSpacing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 Передача в собственност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ь граждан занимаемых ими жилых помещений жилищного фонда (приватизация жилищного фонда);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3) Выдача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1107FF" w:rsidRDefault="00B30D5C">
      <w:p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системы межведомственного электронного взаимодействия</w:t>
      </w:r>
    </w:p>
    <w:p w:rsidR="001107FF" w:rsidRDefault="00B30D5C">
      <w:pPr>
        <w:pStyle w:val="ab"/>
        <w:spacing w:after="0" w:line="240" w:lineRule="auto"/>
        <w:ind w:left="0" w:firstLine="709"/>
      </w:pPr>
      <w:r>
        <w:rPr>
          <w:rFonts w:ascii="Times New Roman" w:hAnsi="Times New Roman" w:cs="Times New Roman"/>
          <w:sz w:val="28"/>
          <w:szCs w:val="28"/>
        </w:rPr>
        <w:t>За 2022 год всеми участниками СМЭВ (ОИВ, ОМСУ) направлено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порядка 745 тысяч запросов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(745 559), </w:t>
      </w:r>
      <w:r>
        <w:rPr>
          <w:rFonts w:ascii="Times New Roman" w:hAnsi="Times New Roman" w:cs="Times New Roman"/>
          <w:b/>
          <w:sz w:val="28"/>
          <w:szCs w:val="28"/>
        </w:rPr>
        <w:t>что на 110% больше аналогичного периода 2021 года</w:t>
      </w:r>
      <w:r>
        <w:rPr>
          <w:rFonts w:ascii="Times New Roman" w:hAnsi="Times New Roman" w:cs="Times New Roman"/>
          <w:sz w:val="28"/>
          <w:szCs w:val="28"/>
        </w:rPr>
        <w:t xml:space="preserve">. В том числе муниципалитетами направлено более </w:t>
      </w:r>
      <w:r>
        <w:rPr>
          <w:rFonts w:ascii="Times New Roman" w:hAnsi="Times New Roman" w:cs="Times New Roman"/>
          <w:sz w:val="28"/>
          <w:szCs w:val="28"/>
        </w:rPr>
        <w:t>736 тысяч запросов (736 511) с ростом на 71% к 2021 году, министерствами – 9048, что на 152% больше к уровню 2021 года. Рост связан в связи запросами на оказание услуг по Ежемесячным выплатам на детей  и высоким запросом сведений о судимости работников.</w:t>
      </w:r>
    </w:p>
    <w:p w:rsidR="001107FF" w:rsidRDefault="00B30D5C">
      <w:pPr>
        <w:pStyle w:val="ab"/>
        <w:spacing w:after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1 января 2022 года поступило </w:t>
      </w:r>
      <w:r>
        <w:rPr>
          <w:rFonts w:ascii="PT Astra Serif" w:hAnsi="PT Astra Serif"/>
          <w:b/>
          <w:sz w:val="28"/>
          <w:szCs w:val="28"/>
        </w:rPr>
        <w:t xml:space="preserve">22 926 заявлений </w:t>
      </w:r>
      <w:r>
        <w:rPr>
          <w:rFonts w:ascii="PT Astra Serif" w:hAnsi="PT Astra Serif"/>
          <w:sz w:val="28"/>
          <w:szCs w:val="28"/>
        </w:rPr>
        <w:t>в рамках выплат на детей от 3 до 7 лет включительно.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  <w:shd w:val="clear" w:color="auto" w:fill="FFFFFF"/>
        </w:rPr>
        <w:t>На 2022 год в РСМЭВ имеется Ф-сведений – 40: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ab/>
      </w:r>
      <w:r>
        <w:rPr>
          <w:rFonts w:ascii="PT Astra Serif" w:hAnsi="PT Astra Serif"/>
          <w:bCs/>
          <w:i/>
          <w:sz w:val="28"/>
          <w:szCs w:val="28"/>
        </w:rPr>
        <w:t>40 сведений в СМЭВ 3 – ФНС (18), ПФР (6), Росреестр (7), Роспотребнадзор (2), МВД (2), МЧС (2), Фонд социального страхования (1), Федеральное медико-биологическое агентство (1) и Минобороны (1).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Количество пользователей в РСМЭВ: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- ОИВ – 46 пользователе</w:t>
      </w:r>
      <w:r>
        <w:rPr>
          <w:rFonts w:ascii="PT Astra Serif" w:hAnsi="PT Astra Serif"/>
          <w:sz w:val="28"/>
          <w:szCs w:val="28"/>
        </w:rPr>
        <w:t>й;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  <w:t>- ОМСУ – 181 пользователей.</w:t>
      </w:r>
    </w:p>
    <w:p w:rsidR="001107FF" w:rsidRDefault="00B30D5C">
      <w:pPr>
        <w:pStyle w:val="ab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1 января 2023 года в связи с передачей ежемесячной денежной выплаты на ребенка в возрасте от 3 до 7 лет включительно» в соответствии с Федеральным законом "О ежемесячных выплатах семьям, имеющим детей" на оказание на ок</w:t>
      </w:r>
      <w:r>
        <w:rPr>
          <w:rFonts w:ascii="Times New Roman" w:hAnsi="Times New Roman" w:cs="Times New Roman"/>
          <w:sz w:val="28"/>
          <w:szCs w:val="28"/>
        </w:rPr>
        <w:t>азание в ПФР+ФСС. В связи с этим оказание услуги в ИС «</w:t>
      </w:r>
      <w:r>
        <w:rPr>
          <w:rFonts w:ascii="Times New Roman" w:hAnsi="Times New Roman" w:cs="Times New Roman"/>
          <w:sz w:val="28"/>
          <w:szCs w:val="28"/>
          <w:lang w:val="en-US"/>
        </w:rPr>
        <w:t>Digit</w:t>
      </w:r>
      <w:r>
        <w:rPr>
          <w:rFonts w:ascii="Times New Roman" w:hAnsi="Times New Roman" w:cs="Times New Roman"/>
          <w:sz w:val="28"/>
          <w:szCs w:val="28"/>
        </w:rPr>
        <w:t xml:space="preserve"> МЭВ» прекращается.</w:t>
      </w:r>
    </w:p>
    <w:p w:rsidR="001107FF" w:rsidRDefault="00B30D5C">
      <w:pPr>
        <w:keepNext/>
        <w:keepLines/>
        <w:spacing w:after="0" w:line="360" w:lineRule="auto"/>
        <w:ind w:left="1068" w:firstLine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Система электронного документооборота</w:t>
      </w:r>
    </w:p>
    <w:p w:rsidR="001107FF" w:rsidRDefault="00B30D5C">
      <w:pPr>
        <w:keepNext/>
        <w:keepLine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Для организации электронного документооборота в Республике Тыва внедрена система электронного документооборота СЭД «Практика» (далее – СЭД</w:t>
      </w:r>
      <w:r>
        <w:rPr>
          <w:rFonts w:ascii="Times New Roman" w:eastAsia="Times New Roman" w:hAnsi="Times New Roman" w:cs="Times New Roman"/>
          <w:sz w:val="28"/>
          <w:szCs w:val="32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СЭД по состоянию на 31.12.2022 года всего зарегистрировано 3160 пользователей. За год было проведено обучение около 116 сотрудников в формате ВКС.</w:t>
      </w:r>
    </w:p>
    <w:p w:rsidR="001107FF" w:rsidRDefault="00B30D5C">
      <w:pPr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показателями, утвержденными Паспортом федерального проекта Цифровое государственное упр</w:t>
      </w:r>
      <w:r>
        <w:rPr>
          <w:rFonts w:ascii="Times New Roman" w:hAnsi="Times New Roman"/>
          <w:sz w:val="28"/>
          <w:szCs w:val="28"/>
        </w:rPr>
        <w:t>авление национальной программы "Цифровая экономика РФ" 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в 2022 году должна составлять 50%</w:t>
      </w:r>
    </w:p>
    <w:p w:rsidR="001107FF" w:rsidRDefault="00B30D5C">
      <w:pPr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>
        <w:rPr>
          <w:rFonts w:ascii="Times New Roman" w:hAnsi="Times New Roman"/>
          <w:sz w:val="28"/>
          <w:szCs w:val="28"/>
        </w:rPr>
        <w:t xml:space="preserve"> год общее количество исходящих документов через систему электронного документооборота составило </w:t>
      </w:r>
      <w:r>
        <w:rPr>
          <w:rFonts w:ascii="Times New Roman" w:hAnsi="Times New Roman"/>
          <w:b/>
          <w:bCs/>
          <w:sz w:val="28"/>
          <w:szCs w:val="28"/>
        </w:rPr>
        <w:t>192 131</w:t>
      </w:r>
      <w:r>
        <w:rPr>
          <w:rFonts w:ascii="Times New Roman" w:hAnsi="Times New Roman"/>
          <w:b/>
          <w:sz w:val="28"/>
          <w:szCs w:val="28"/>
        </w:rPr>
        <w:t xml:space="preserve"> документов. </w:t>
      </w:r>
      <w:r>
        <w:rPr>
          <w:rFonts w:ascii="Times New Roman" w:hAnsi="Times New Roman"/>
          <w:sz w:val="28"/>
          <w:szCs w:val="28"/>
        </w:rPr>
        <w:t xml:space="preserve">Из них как юридически значимое действие </w:t>
      </w:r>
      <w:r>
        <w:rPr>
          <w:rFonts w:ascii="Times New Roman" w:hAnsi="Times New Roman"/>
          <w:b/>
          <w:bCs/>
          <w:sz w:val="28"/>
          <w:szCs w:val="28"/>
        </w:rPr>
        <w:t>с использованием электронной цифровой подписи подписано 173 712 документов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b/>
          <w:sz w:val="28"/>
          <w:szCs w:val="28"/>
        </w:rPr>
        <w:t>90%</w:t>
      </w:r>
      <w:r>
        <w:rPr>
          <w:rFonts w:ascii="Times New Roman" w:hAnsi="Times New Roman"/>
          <w:sz w:val="28"/>
          <w:szCs w:val="28"/>
        </w:rPr>
        <w:t xml:space="preserve"> от общего количества исходящих. </w:t>
      </w:r>
    </w:p>
    <w:p w:rsidR="001107FF" w:rsidRDefault="00B30D5C">
      <w:pPr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текущий период доля перехода на юридически значимый документооборот в подведомственных учреждениях органов исполнительной власти составляет 78% от общего количества писем. </w:t>
      </w:r>
    </w:p>
    <w:p w:rsidR="001107FF" w:rsidRDefault="00B30D5C">
      <w:p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сельских администрациях муниципальных образо</w:t>
      </w:r>
      <w:r>
        <w:rPr>
          <w:rFonts w:ascii="Times New Roman" w:hAnsi="Times New Roman" w:cs="Times New Roman"/>
          <w:sz w:val="28"/>
          <w:szCs w:val="28"/>
        </w:rPr>
        <w:t>ваний доля перехода составляет 39% от общего количества писем.</w:t>
      </w:r>
    </w:p>
    <w:p w:rsidR="001107FF" w:rsidRDefault="00B30D5C">
      <w:p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 xml:space="preserve">В целях модернизации </w:t>
      </w:r>
      <w:r>
        <w:rPr>
          <w:rFonts w:ascii="Times New Roman" w:hAnsi="Times New Roman" w:cs="Times New Roman"/>
          <w:sz w:val="28"/>
          <w:szCs w:val="28"/>
        </w:rPr>
        <w:t>системы заключен государственный контракт между Министерством цифрового развития Республики Тыва и ООО "Системы документооборота"</w:t>
      </w:r>
      <w:r>
        <w:rPr>
          <w:rFonts w:ascii="Times New Roman" w:hAnsi="Times New Roman" w:cs="Times New Roman"/>
          <w:sz w:val="28"/>
          <w:szCs w:val="28"/>
        </w:rPr>
        <w:t xml:space="preserve"> от 11.07.2022 № 2022/19 на оказание услуг по обновлению версии программного обеспечение системы электронного документооборота.</w:t>
      </w:r>
    </w:p>
    <w:p w:rsidR="001107FF" w:rsidRDefault="00B30D5C">
      <w:pPr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 xml:space="preserve">В рамках данного государственного контракта в августе текущего года был осуществлен переход на обновленную версию СЭД 3 версии, </w:t>
      </w:r>
      <w:r>
        <w:rPr>
          <w:rFonts w:ascii="Times New Roman" w:hAnsi="Times New Roman" w:cs="Times New Roman"/>
          <w:sz w:val="28"/>
        </w:rPr>
        <w:t>которая соответствует запросам Контрольного управления Администрации Главы Республики Тыва и Аппарата Правительства Республики Тыва.</w:t>
      </w:r>
    </w:p>
    <w:p w:rsidR="001107FF" w:rsidRDefault="00B30D5C">
      <w:pPr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Обновленная версия СЭД «Практика» имеет дополнительный функционал, который включает в себя: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новый интерфейс СЭД;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выгрузку к</w:t>
      </w:r>
      <w:r>
        <w:rPr>
          <w:rFonts w:ascii="Times New Roman" w:hAnsi="Times New Roman" w:cs="Times New Roman"/>
          <w:sz w:val="28"/>
        </w:rPr>
        <w:t>онтрольных документов по резолюции без дублирования (прикрепляем excel таблицу для формирования подобного отчета);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планирование мероприятий;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контентный поиск, позволяющий искать по тексту документов;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шаблоны расширенного поиска – сохранение параметров поис</w:t>
      </w:r>
      <w:r>
        <w:rPr>
          <w:rFonts w:ascii="Times New Roman" w:hAnsi="Times New Roman" w:cs="Times New Roman"/>
          <w:sz w:val="28"/>
        </w:rPr>
        <w:t>ка для дальнейшего поиска;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контроль сквозного движения документов «обращение граждан»;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хранение архивных уведомлений;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возможность создания списка пользователей, которые могут направлять резолюции в адрес определенных лиц;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возможность добавления признаков в</w:t>
      </w:r>
      <w:r>
        <w:rPr>
          <w:rFonts w:ascii="Times New Roman" w:hAnsi="Times New Roman" w:cs="Times New Roman"/>
          <w:sz w:val="28"/>
        </w:rPr>
        <w:t xml:space="preserve"> документ;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возможность запускать согласование проекта документа по заранее настроенному маршруту, а также создавать маршруты согласования с разграничением их использования в зависимости от прав пользователя;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возможность отслеживать исполнение контрольных п</w:t>
      </w:r>
      <w:r>
        <w:rPr>
          <w:rFonts w:ascii="Times New Roman" w:hAnsi="Times New Roman" w:cs="Times New Roman"/>
          <w:sz w:val="28"/>
        </w:rPr>
        <w:t>оручений, в которых текущий пользователь является исполнителем либо автором;</w:t>
      </w:r>
    </w:p>
    <w:p w:rsidR="001107FF" w:rsidRDefault="00B30D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для руководителей рассмотреть сразу несколько проектов поручений без входа в документы.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Реализованы мероприятия по развитию Ситуационного центра Главы Республики Тыва,</w:t>
      </w:r>
      <w:r>
        <w:rPr>
          <w:rFonts w:ascii="Times New Roman" w:hAnsi="Times New Roman" w:cs="Times New Roman"/>
          <w:sz w:val="28"/>
          <w:szCs w:val="28"/>
        </w:rPr>
        <w:t xml:space="preserve"> где в рамках проекта внедрены цифровые решения аналитики данных по бюджету.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в соответствии с Федеральным Законом «О безопасности критической информационной инфраструктуры» от 26 июля 2017 г. № 187-ФЗ органы исполнит</w:t>
      </w:r>
      <w:r>
        <w:rPr>
          <w:rFonts w:ascii="Times New Roman" w:hAnsi="Times New Roman" w:cs="Times New Roman"/>
          <w:sz w:val="28"/>
          <w:szCs w:val="28"/>
        </w:rPr>
        <w:t>ельной власти Республики Тыва завершили формирование перечней объектов критической инфраструктуры (далее – КИИ), их категорирования, также завершили разработку планов мероприятий при установлении соответствующих уровней опасности, направленных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объектов КИИ и согласованы с Управлением Федеральной службы по техническому и экспортному контролю (ФСТЭК) России по Сибирскому федеральному округу.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 постоянный мониторинг с помощью Государственной системой обнаружения, предупреждени</w:t>
      </w:r>
      <w:r>
        <w:rPr>
          <w:rFonts w:ascii="Times New Roman" w:hAnsi="Times New Roman" w:cs="Times New Roman"/>
          <w:sz w:val="28"/>
          <w:szCs w:val="28"/>
        </w:rPr>
        <w:t>я и ликвидации последствий компьютерных атак (ГосСОПКА) информационных систем и ресурсов органов государственной власти Республики Тыва.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Центре обработки данных (ЦОД) Минцифры Тувы выявлены 80 инцидентов, из них 13 инцидента критического уров</w:t>
      </w:r>
      <w:r>
        <w:rPr>
          <w:rFonts w:ascii="Times New Roman" w:hAnsi="Times New Roman" w:cs="Times New Roman"/>
          <w:sz w:val="28"/>
          <w:szCs w:val="28"/>
        </w:rPr>
        <w:t xml:space="preserve">ня важности, 63 высокого уровня важности, 4 среднего уровня, все они локализованы. 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повышение квалификации 11 специалистов органов исполнительной власти республики в области защиты информации.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«Научно-практическая конференция «Безопасность прорывных технологий - основа цифровой экономики» для организаций Республики Тыва.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методический сбор с участием ФСТЭК России по Сибирскому федеральному округу.</w:t>
      </w:r>
    </w:p>
    <w:p w:rsidR="001107FF" w:rsidRDefault="00B30D5C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информационных технологий 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органов исполнительной власти приобретена система АСУ «Управление проектной деятельности и мониторинг госпрограмм» - 6471,2 тыс. рублей (кредиторская задолженность), </w:t>
      </w:r>
      <w:r>
        <w:rPr>
          <w:rFonts w:cs="Times New Roman"/>
          <w:sz w:val="1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обеспечена </w:t>
      </w:r>
      <w:r>
        <w:rPr>
          <w:rFonts w:ascii="PT Astra Serif" w:hAnsi="PT Astra Serif"/>
          <w:sz w:val="28"/>
          <w:szCs w:val="28"/>
        </w:rPr>
        <w:t>настройке типовой схемы документообор</w:t>
      </w:r>
      <w:r>
        <w:rPr>
          <w:rFonts w:ascii="PT Astra Serif" w:hAnsi="PT Astra Serif"/>
          <w:sz w:val="28"/>
          <w:szCs w:val="28"/>
        </w:rPr>
        <w:t xml:space="preserve">ота Системы для работы муниципальных заказчиков Республики Тыва — </w:t>
      </w:r>
      <w:r>
        <w:rPr>
          <w:rFonts w:ascii="PT Astra Serif" w:hAnsi="PT Astra Serif"/>
          <w:sz w:val="28"/>
          <w:szCs w:val="28"/>
        </w:rPr>
        <w:t>3980</w:t>
      </w:r>
      <w:r>
        <w:rPr>
          <w:rFonts w:ascii="PT Astra Serif" w:hAnsi="PT Astra Serif"/>
          <w:sz w:val="28"/>
          <w:szCs w:val="28"/>
        </w:rPr>
        <w:t xml:space="preserve"> тыс. рублей, оказана услуга по развитию подсистемы «Электронный реестр полномочий и функций» в составе государственной информационной системы Республики Тыва «Единая информационная сист</w:t>
      </w:r>
      <w:r>
        <w:rPr>
          <w:rFonts w:ascii="PT Astra Serif" w:hAnsi="PT Astra Serif"/>
          <w:sz w:val="28"/>
          <w:szCs w:val="28"/>
        </w:rPr>
        <w:t>ема кадрового учета государственных гражданских служащих Республики Тыва» на сумму 1708 тыс. рублей.</w:t>
      </w:r>
    </w:p>
    <w:p w:rsidR="001107FF" w:rsidRDefault="00B30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3 Указа Президента Российской Федерации от 25 ноября 2022 №854 "О государственном информационном ресурсе, содержащем сведения о гражда</w:t>
      </w:r>
      <w:r>
        <w:rPr>
          <w:rFonts w:ascii="Times New Roman" w:hAnsi="Times New Roman" w:cs="Times New Roman"/>
          <w:sz w:val="28"/>
          <w:szCs w:val="28"/>
        </w:rPr>
        <w:t xml:space="preserve">нах, необходимые для актуализации документов воинского учета", в 12 военных комиссариатов обеспечена поставка автоматизированных рабочих мест в количестве 46 комплектов.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 6 декабря 2022 года по 21 декабря 2022 года произведена оцифровка 100%.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ходе освоения субсидий,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выделенных из федерального бюджета в 2022 году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рамках федерального проекта «Информационная инфраструктура» национальной программы «Цифровая экономика Российской Федерации» предусмотрено мероприятие по созданию и организации работ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ы единой службы оперативной помощи гражданам по номеру «122» № 071-17-2022-057 от 31.12.2021 г.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Общая сумма средств на 2022 год составляет 5 897,3 тыс. рублей (в т.ч. из ФБ - 5 838,3 тыс. рублей, РБ – 59 тыс. рублей)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Заключен государственный контракт с единственным поставщиком в лице ПАО «Ростелеком» на сумму 5897,3 тыс. рублей.</w:t>
      </w:r>
    </w:p>
    <w:p w:rsidR="001107FF" w:rsidRDefault="00B30D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>Новая система «122» введена в эксплуатацию. Единый номер «122» позволяет централизовать звонки в колл-центрах, организовать их оперативную мар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>шрутизацию – поликлиники, станции скорой помощи или другие службы. Иной межбюджетный трансферт полностью освоен, ц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елевой показатель Соглашения исполнен.</w:t>
      </w:r>
    </w:p>
    <w:p w:rsidR="001107FF" w:rsidRDefault="00B30D5C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 так же заключено Соглашение № 071-09-2022-060 от 28 декабря 2021 года между Министерством цифрового 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азвития, связи и массовых коммуникаций Российской Федерации и Правительством Республики Тыва о предоставлении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субсидии из федерального бюджета бюджету Республики Тыва на поддержку региональных проектов в сфере информационных технологий (Доработка АС Минтру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да РТ). 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Общая сумма средств на 2022 год составляет 4 712,12 тыс. рублей (в т.ч. из ФБ – 4 656,0 тыс. рублей, РБ – 47,12 тыс. рублей.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Заключен контракт № 2022/18 от 01.07.2022 года на оказание услуг по доработке и интеграции ведомственной информационной си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стемы с функционалом платформы машиночитаемых цифровых административных регламентов (далее – ЦАР) в части массовых социально значимых услуг (МСЗУ) и возможностью применения доработки в дальнейшем для других услуг. Цена контракта - 4 712,12 тыс. рублей. Пла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новый срок исполнения контракта – 31.12.2022 года.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Необходимые правовые акты приняты. Разработан план-график разработки цифровых регламентов органами исполнительной власти Республики Тыва.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Целевой показатель Соглашения исполнен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В рамках данной субсидии вы</w:t>
      </w:r>
      <w:r>
        <w:rPr>
          <w:rFonts w:ascii="Times New Roman" w:hAnsi="Times New Roman" w:cs="Times New Roman"/>
          <w:iCs/>
          <w:sz w:val="26"/>
          <w:szCs w:val="26"/>
        </w:rPr>
        <w:t>полнены работы по доработке и интеграции ведомственной информационной системы АС «Адресная социальная помощь» с функционалом платформы машиночитаемых цифровых административных регламентов в части массовых социально значимых услуг (МСЗУ) и возможностью прим</w:t>
      </w:r>
      <w:r>
        <w:rPr>
          <w:rFonts w:ascii="Times New Roman" w:hAnsi="Times New Roman" w:cs="Times New Roman"/>
          <w:iCs/>
          <w:sz w:val="26"/>
          <w:szCs w:val="26"/>
        </w:rPr>
        <w:t xml:space="preserve">енения доработки в дальнейшем для других услуг. Разработаны цифровые административные регламенты в КЦР ФРГУ 19 массовых социально-значимых услуг. 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МФЦ.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 территории Республики Тыва функционирует 17 территориальных отделов, уполномоченного МФЦ и 41 удаленного рабочего места под единым брендом "Мои Документы" и 1 офис «МФЦ для бизнеса» в г. Кызыле.    </w:t>
      </w:r>
    </w:p>
    <w:p w:rsidR="001107FF" w:rsidRDefault="00B30D5C">
      <w:pPr>
        <w:shd w:val="clear" w:color="auto" w:fill="FFFFFF"/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сети МФЦ организовано предоставление 391 наиболее 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жной и социально значимой массовой услуги в шаговой доступности для граждан и субъектов малого и среднего предпринимательства, в том числе:</w:t>
      </w:r>
    </w:p>
    <w:p w:rsidR="001107FF" w:rsidRDefault="00B30D5C">
      <w:pPr>
        <w:shd w:val="clear" w:color="auto" w:fill="FFFFFF"/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106 государственных услуг федеральных органов исполнительной власти;</w:t>
      </w:r>
    </w:p>
    <w:p w:rsidR="001107FF" w:rsidRDefault="00B30D5C">
      <w:pPr>
        <w:shd w:val="clear" w:color="auto" w:fill="FFFFFF"/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92 государственных услуг органов исполнител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ьной власти Республики Тыва;</w:t>
      </w:r>
    </w:p>
    <w:p w:rsidR="001107FF" w:rsidRDefault="00B30D5C">
      <w:pPr>
        <w:shd w:val="clear" w:color="auto" w:fill="FFFFFF"/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59 муниципальных услуг органов местного самоуправления Республики Тыва;</w:t>
      </w:r>
    </w:p>
    <w:p w:rsidR="001107FF" w:rsidRDefault="00B30D5C">
      <w:pPr>
        <w:shd w:val="clear" w:color="auto" w:fill="FFFFFF"/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128 услуг организаций инфраструктуры поддержки малого и среднего предпринимательства;</w:t>
      </w:r>
    </w:p>
    <w:p w:rsidR="001107FF" w:rsidRDefault="00B30D5C">
      <w:pPr>
        <w:shd w:val="clear" w:color="auto" w:fill="FFFFFF"/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6 бизнес-услуга.</w:t>
      </w:r>
    </w:p>
    <w:p w:rsidR="001107FF" w:rsidRDefault="00B30D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За 2022 год зарегистрировано 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287 тыс. обращени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 за получением государственных и муниципальных услуг в сети Многофункциональных центров республики. По сравнению с 2021 годом отмечено снижение на 19,6 %. Основными причинами снижения показателя является получение гражданами государственных услуг в электр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онном виде. Наряду со снижением количества очных обращений, 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увеличено количество консультаций и информирование граждан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 о получении государственных и муниципальных услуг 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на 13%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. Всего проинформировано 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около 45 тыс. граждан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 xml:space="preserve">, при </w:t>
      </w:r>
      <w:r>
        <w:rPr>
          <w:rFonts w:ascii="Times New Roman" w:eastAsia="Calibri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плановом значении 33 тыс</w:t>
      </w:r>
      <w:r>
        <w:rPr>
          <w:rFonts w:ascii="Times New Roman" w:eastAsia="Calibri" w:hAnsi="Times New Roman" w:cs="Times New Roman"/>
          <w:bCs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1107FF" w:rsidRDefault="00B30D5C">
      <w:pPr>
        <w:pStyle w:val="afa"/>
        <w:shd w:val="clear" w:color="auto" w:fill="FFFFFF"/>
        <w:spacing w:beforeAutospacing="0" w:after="0" w:afterAutospacing="0"/>
        <w:jc w:val="center"/>
        <w:rPr>
          <w:b/>
          <w:color w:val="2C2D2E"/>
          <w:sz w:val="28"/>
          <w:szCs w:val="28"/>
          <w:highlight w:val="white"/>
        </w:rPr>
      </w:pPr>
      <w:r>
        <w:rPr>
          <w:b/>
          <w:color w:val="2C2D2E"/>
          <w:sz w:val="28"/>
          <w:szCs w:val="28"/>
          <w:shd w:val="clear" w:color="auto" w:fill="FFFFFF"/>
        </w:rPr>
        <w:t>Инф</w:t>
      </w:r>
      <w:r>
        <w:rPr>
          <w:b/>
          <w:color w:val="2C2D2E"/>
          <w:sz w:val="28"/>
          <w:szCs w:val="28"/>
          <w:shd w:val="clear" w:color="auto" w:fill="FFFFFF"/>
        </w:rPr>
        <w:t>ормация по закупкам на 23.12.2022 г.</w:t>
      </w:r>
    </w:p>
    <w:p w:rsidR="001107FF" w:rsidRDefault="00B30D5C">
      <w:pPr>
        <w:pStyle w:val="afa"/>
        <w:shd w:val="clear" w:color="auto" w:fill="FFFFFF"/>
        <w:spacing w:beforeAutospacing="0" w:after="0" w:afterAutospacing="0"/>
        <w:ind w:left="-1" w:firstLine="709"/>
        <w:jc w:val="both"/>
        <w:rPr>
          <w:color w:val="2C2D2E"/>
          <w:sz w:val="28"/>
          <w:szCs w:val="28"/>
          <w:highlight w:val="white"/>
        </w:rPr>
      </w:pPr>
      <w:r>
        <w:rPr>
          <w:color w:val="2C2D2E"/>
          <w:sz w:val="28"/>
          <w:szCs w:val="28"/>
          <w:shd w:val="clear" w:color="auto" w:fill="FFFFFF"/>
        </w:rPr>
        <w:t xml:space="preserve">На 2022 год утвержденным планом-графиком предусмотрено закупка товаров, работ и услуг на сумму </w:t>
      </w:r>
      <w:r>
        <w:rPr>
          <w:sz w:val="28"/>
          <w:szCs w:val="28"/>
        </w:rPr>
        <w:t>111486.8</w:t>
      </w:r>
      <w:r>
        <w:rPr>
          <w:color w:val="2C2D2E"/>
          <w:sz w:val="28"/>
          <w:szCs w:val="28"/>
          <w:shd w:val="clear" w:color="auto" w:fill="FFFFFF"/>
        </w:rPr>
        <w:t xml:space="preserve"> тыс. рублей.</w:t>
      </w:r>
    </w:p>
    <w:p w:rsidR="001107FF" w:rsidRDefault="00B30D5C">
      <w:pPr>
        <w:pStyle w:val="afa"/>
        <w:shd w:val="clear" w:color="auto" w:fill="FFFFFF"/>
        <w:spacing w:beforeAutospacing="0" w:after="0" w:afterAutospacing="0"/>
        <w:ind w:left="-1" w:firstLine="709"/>
        <w:jc w:val="both"/>
        <w:rPr>
          <w:color w:val="2C2D2E"/>
          <w:sz w:val="28"/>
          <w:szCs w:val="28"/>
          <w:highlight w:val="white"/>
        </w:rPr>
      </w:pPr>
      <w:r>
        <w:rPr>
          <w:color w:val="2C2D2E"/>
          <w:sz w:val="28"/>
          <w:szCs w:val="28"/>
          <w:shd w:val="clear" w:color="auto" w:fill="FFFFFF"/>
        </w:rPr>
        <w:t>Всего на 23.12.2022 г. Министерством заключены контракты и договора на сумму 89 066,25 тыс. рублей, что составляет 91% от плана (26 контракт на сумму 81 014,75 тыс. рублей, договора на 8 051,49 тыс. рублей).</w:t>
      </w:r>
    </w:p>
    <w:p w:rsidR="001107FF" w:rsidRDefault="00B30D5C">
      <w:pPr>
        <w:pStyle w:val="afa"/>
        <w:shd w:val="clear" w:color="auto" w:fill="FFFFFF"/>
        <w:spacing w:beforeAutospacing="0" w:after="0" w:afterAutospacing="0"/>
        <w:ind w:left="-1" w:firstLine="709"/>
        <w:jc w:val="both"/>
        <w:rPr>
          <w:color w:val="2C2D2E"/>
          <w:sz w:val="28"/>
          <w:szCs w:val="28"/>
          <w:highlight w:val="white"/>
        </w:rPr>
      </w:pPr>
      <w:r>
        <w:rPr>
          <w:color w:val="2C2D2E"/>
          <w:sz w:val="28"/>
          <w:szCs w:val="28"/>
          <w:shd w:val="clear" w:color="auto" w:fill="FFFFFF"/>
        </w:rPr>
        <w:t>Оплачено на 23.12.2022 года контрактов на 64 873</w:t>
      </w:r>
      <w:r>
        <w:rPr>
          <w:color w:val="2C2D2E"/>
          <w:sz w:val="28"/>
          <w:szCs w:val="28"/>
          <w:shd w:val="clear" w:color="auto" w:fill="FFFFFF"/>
        </w:rPr>
        <w:t>,98 тыс. рублей, что составляет 62% от плана.</w:t>
      </w:r>
    </w:p>
    <w:p w:rsidR="001107FF" w:rsidRDefault="00B30D5C">
      <w:pPr>
        <w:shd w:val="clear" w:color="auto" w:fill="FFFFFF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Министерством цифрового развития Республики Тыва в 2022 году предусмотрено освоение следующих целевых федеральных средств в размере  10 609,3 тыс. руб. (РБ-106 тыс. рублей) по состоянию на 19 декабря 2022 г осв</w:t>
      </w:r>
      <w:r>
        <w:rPr>
          <w:rFonts w:ascii="Times New Roman" w:eastAsiaTheme="minorEastAsia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оение составляет 100 %.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прочим расходам имеется задолженность в сумме 15 192,4 тыс. руб., в том числе: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- 3980,0 тыс. рублей - Оказание услуг по внедрению, настройке типовой схемы документооборота Системы для работы муниципальных заказчиков Республики Тыва: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- 1 730 тыс .руб. – предоставление Гранта Главы РТ на разработку и внедрение ИТ;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- 6 000 тыс.руб. 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модернизации и развитию инфраструктуры связи на территории Республики Тыва (Сут-Хол, Танды);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- 332,5 тыс. руб. - сопровождение автоматизированной информационной системы многофункциональных центров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услуг;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- 1 708 тыс. руб. - оказание услуг по развитию подсистемы Электронный реестр полномочий и функций в составе государственной информационной системы Республики Тыва Единая информационная система кадрового учета государственных граждански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служащих Республики Тыва;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- 450,9 тыс. руб. - ежегодная поддержка каналов связи Видеоконференцсвязи Главы Республики Тыва;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- 856 тыс.руб. - Внедрение информационных систем в деятельность органов исполнительной власти Республики Тыва;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- 110,2 тыс.руб.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Приобретение офисной мебели; </w:t>
      </w:r>
    </w:p>
    <w:p w:rsidR="001107FF" w:rsidRDefault="00B30D5C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- 24,8 тыс.руб. – Изготовление баннера.</w:t>
      </w:r>
    </w:p>
    <w:p w:rsidR="001107FF" w:rsidRDefault="00B30D5C">
      <w:pPr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Капитальное строительство</w:t>
      </w:r>
    </w:p>
    <w:p w:rsidR="001107FF" w:rsidRDefault="00B30D5C">
      <w:pPr>
        <w:spacing w:after="0" w:line="240" w:lineRule="auto"/>
        <w:ind w:left="-2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с. Бай-Хаак Тандинского кожууна началось строительство хозяйственным способом административного здания по ул. Советская, д. 96, в котором будут располагатьс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я территориальный отдел ГАУ «МФЦ РТ» № 9 в Тандинском кожууне и отдел ЗАГС министерства юстиции Республики Тыва в Тандинском кожууне. Общий объем затрат на строительство по сведениям администрации Тандинского кожууна составляет около 15 000 тыс. рублей с 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четом всех затрат на строительство.</w:t>
      </w:r>
    </w:p>
    <w:p w:rsidR="001107FF" w:rsidRDefault="00B30D5C">
      <w:pPr>
        <w:shd w:val="clear" w:color="auto" w:fill="FFFFFF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 бюджета ГАУ «МФЦ РТ» в текущем году на данное строительство выделено 4 900 тыс. рублей на которые были закуплены строительные материалы. Администрацией Тандинского кожууна в настоящее время получены все строительные материалы от поставщиков.</w:t>
      </w:r>
    </w:p>
    <w:p w:rsidR="001107FF" w:rsidRDefault="00B30D5C">
      <w:pPr>
        <w:spacing w:after="0" w:line="240" w:lineRule="auto"/>
        <w:ind w:left="-2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</w:t>
      </w:r>
      <w:r>
        <w:rPr>
          <w:rFonts w:ascii="Times New Roman" w:hAnsi="Times New Roman" w:cs="Times New Roman"/>
          <w:sz w:val="28"/>
          <w:szCs w:val="28"/>
        </w:rPr>
        <w:t xml:space="preserve"> дата ввода в эксплуатацию объекта </w:t>
      </w:r>
      <w:r>
        <w:rPr>
          <w:rFonts w:ascii="Times New Roman" w:hAnsi="Times New Roman" w:cs="Times New Roman"/>
          <w:sz w:val="28"/>
          <w:szCs w:val="28"/>
        </w:rPr>
        <w:t xml:space="preserve">апрель 2023 </w:t>
      </w:r>
      <w:r>
        <w:rPr>
          <w:rFonts w:ascii="Times New Roman" w:hAnsi="Times New Roman" w:cs="Times New Roman"/>
          <w:sz w:val="28"/>
          <w:szCs w:val="28"/>
        </w:rPr>
        <w:t>года (конец ноября).</w:t>
      </w:r>
    </w:p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Оценка эффективности реализации государственной программы:</w:t>
      </w:r>
    </w:p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целом реализованные мероприятия позволили достичь основные целевые показатели программы </w:t>
      </w:r>
    </w:p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709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Всего индикаторов по госпрограмме на 2022 год утвержд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ено 21 показатель, в том числе: по 18 показателям исполнены, 3 показателям отмечается не достижение. Причина не достижения - поставлено слишком высокое плановое значение на 2022 год.</w:t>
      </w:r>
    </w:p>
    <w:p w:rsidR="001107FF" w:rsidRDefault="0011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709"/>
        <w:contextualSpacing/>
      </w:pPr>
    </w:p>
    <w:tbl>
      <w:tblPr>
        <w:tblStyle w:val="a3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5627"/>
        <w:gridCol w:w="1276"/>
        <w:gridCol w:w="1417"/>
        <w:gridCol w:w="1449"/>
      </w:tblGrid>
      <w:tr w:rsidR="001107FF">
        <w:tc>
          <w:tcPr>
            <w:tcW w:w="562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показателей</w:t>
            </w:r>
          </w:p>
        </w:tc>
        <w:tc>
          <w:tcPr>
            <w:tcW w:w="141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Выполнено</w:t>
            </w:r>
          </w:p>
        </w:tc>
        <w:tc>
          <w:tcPr>
            <w:tcW w:w="1449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выполнено</w:t>
            </w:r>
          </w:p>
        </w:tc>
      </w:tr>
      <w:tr w:rsidR="001107FF">
        <w:tc>
          <w:tcPr>
            <w:tcW w:w="562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Подпрограмма «Развитие информационного общества в Республике Тыва на 2021-2025 годы»</w:t>
            </w:r>
          </w:p>
        </w:tc>
        <w:tc>
          <w:tcPr>
            <w:tcW w:w="1276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449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1107FF">
        <w:tc>
          <w:tcPr>
            <w:tcW w:w="562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Подпрограмма 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 на 2021-2025 годы»</w:t>
            </w:r>
          </w:p>
        </w:tc>
        <w:tc>
          <w:tcPr>
            <w:tcW w:w="1276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1107FF">
        <w:tc>
          <w:tcPr>
            <w:tcW w:w="562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Подпрограмма "Развитие средств массовой информаци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и, книгоиздания и полиграфии в Республике Тыва на 2021 - 2025 годы"</w:t>
            </w:r>
          </w:p>
        </w:tc>
        <w:tc>
          <w:tcPr>
            <w:tcW w:w="1276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107FF">
        <w:tc>
          <w:tcPr>
            <w:tcW w:w="562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449" w:type="dxa"/>
          </w:tcPr>
          <w:p w:rsidR="001107FF" w:rsidRDefault="00B30D5C">
            <w:pPr>
              <w:tabs>
                <w:tab w:val="left" w:pos="709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1107FF" w:rsidRDefault="0011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709"/>
        <w:contextualSpacing/>
        <w:rPr>
          <w:highlight w:val="yellow"/>
        </w:rPr>
      </w:pPr>
    </w:p>
    <w:p w:rsidR="001107FF" w:rsidRDefault="0011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57" w:lineRule="atLeast"/>
        <w:ind w:left="0" w:firstLine="709"/>
        <w:rPr>
          <w:sz w:val="24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1134"/>
        <w:gridCol w:w="992"/>
        <w:gridCol w:w="992"/>
        <w:gridCol w:w="1134"/>
      </w:tblGrid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</w:t>
            </w: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Январь-сентябрь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Исполнение в %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 год</w:t>
            </w:r>
          </w:p>
        </w:tc>
        <w:tc>
          <w:tcPr>
            <w:tcW w:w="1134" w:type="dxa"/>
            <w:vMerge/>
          </w:tcPr>
          <w:p w:rsidR="001107FF" w:rsidRDefault="001107FF"/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Количество реализованных на базе единой платформы сервисов обеспечения функций органов государственной власти и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местного самоуправления, в том числе типовых функций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 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ЕПГУ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2 раза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доля обращений за получением массовых социально значимых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МФЦ, от общего количества таких услуг, в 2021 году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136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 Доля зарегистриро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 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rPr>
          <w:trHeight w:val="276"/>
        </w:trPr>
        <w:tc>
          <w:tcPr>
            <w:tcW w:w="5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9. 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емых в электронном виде, и организации участия в заседаниях мировых судов в режиме видео-конференц-связиКоличество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Усл. Единица</w:t>
            </w:r>
          </w:p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</w:pP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2,15 раза больше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 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 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13.Субъектами Российской Федерации реализованы мероприятия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14.Формирование и функционирование необходимой информационно-технологической и телекоммуникацио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нной инфраструктуры на судебных участках мировых судей Республики Тыва для организации защищённого межведомственного электронного взаимодействия, приёма исковых заявлений, направляемых в электронном виде, и организации участия в заседаниях мировых судов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Субсидии отозваны в 2022 году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 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полосного доступа к информационно-телекоммуникационной «Интернет» по технологии WiFi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Запланировано в 2023 году</w:t>
            </w:r>
          </w:p>
        </w:tc>
      </w:tr>
    </w:tbl>
    <w:p w:rsidR="001107FF" w:rsidRDefault="0011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8" w:after="278" w:line="57" w:lineRule="atLeast"/>
        <w:ind w:left="0" w:firstLine="0"/>
        <w:rPr>
          <w:sz w:val="24"/>
        </w:rPr>
      </w:pPr>
    </w:p>
    <w:p w:rsidR="001107FF" w:rsidRDefault="0011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8" w:after="278" w:line="57" w:lineRule="atLeast"/>
        <w:ind w:left="0" w:firstLine="0"/>
        <w:rPr>
          <w:sz w:val="24"/>
        </w:rPr>
      </w:pPr>
    </w:p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8" w:after="278" w:line="57" w:lineRule="atLeast"/>
        <w:ind w:left="0" w:firstLine="0"/>
        <w:rPr>
          <w:sz w:val="24"/>
        </w:rPr>
      </w:pPr>
      <w:r>
        <w:rPr>
          <w:sz w:val="24"/>
        </w:rPr>
        <w:t>МФЦ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1134"/>
        <w:gridCol w:w="992"/>
        <w:gridCol w:w="992"/>
        <w:gridCol w:w="1134"/>
      </w:tblGrid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278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</w:t>
            </w: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0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</w:t>
            </w: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 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110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  <w:jc w:val="center"/>
            </w:pP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ную регистрацию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84,5</w:t>
            </w:r>
          </w:p>
        </w:tc>
      </w:tr>
    </w:tbl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8" w:after="278" w:line="57" w:lineRule="atLeast"/>
        <w:ind w:left="0" w:firstLine="0"/>
        <w:rPr>
          <w:sz w:val="24"/>
        </w:rPr>
      </w:pPr>
      <w:r>
        <w:rPr>
          <w:sz w:val="24"/>
        </w:rPr>
        <w:t>СМИ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1134"/>
        <w:gridCol w:w="992"/>
        <w:gridCol w:w="992"/>
        <w:gridCol w:w="1134"/>
      </w:tblGrid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278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</w:t>
            </w:r>
          </w:p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 2021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%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Выпуск газет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Выпуск книжной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печатных 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Объем вещания регионального телеканала (на кабельном телевидении)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Объем вещания регионального телеканала (на федеральной врезке)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Объем вещания регионального радиоканала во врезке федерального радиоканала «Звезда»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1107FF"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Объем выпускаемых материалов в сетевых изданиях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07FF" w:rsidRDefault="00B30D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78" w:after="142" w:line="276" w:lineRule="atLeast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2.7 раза больше</w:t>
            </w:r>
          </w:p>
        </w:tc>
      </w:tr>
    </w:tbl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0" w:line="57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Выводы и предложения.</w:t>
      </w:r>
    </w:p>
    <w:p w:rsidR="001107FF" w:rsidRDefault="00B30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98" w:line="57" w:lineRule="atLeast"/>
        <w:ind w:left="0"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целом государственная программа по указанным направлениям в 2022 году реализовано эффективно: выполнены практически все целевые показатели. </w:t>
      </w:r>
    </w:p>
    <w:p w:rsidR="001107FF" w:rsidRDefault="001107FF">
      <w:pPr>
        <w:spacing w:after="0" w:line="240" w:lineRule="auto"/>
        <w:ind w:left="-2" w:firstLine="711"/>
        <w:jc w:val="both"/>
      </w:pPr>
      <w:bookmarkStart w:id="0" w:name="_GoBack"/>
      <w:bookmarkEnd w:id="0"/>
    </w:p>
    <w:sectPr w:rsidR="001107FF">
      <w:pgSz w:w="11906" w:h="16838"/>
      <w:pgMar w:top="851" w:right="850" w:bottom="1134" w:left="128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FF" w:rsidRDefault="00B30D5C">
      <w:pPr>
        <w:spacing w:after="0" w:line="240" w:lineRule="auto"/>
      </w:pPr>
      <w:r>
        <w:separator/>
      </w:r>
    </w:p>
  </w:endnote>
  <w:endnote w:type="continuationSeparator" w:id="0">
    <w:p w:rsidR="001107FF" w:rsidRDefault="00B3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FF" w:rsidRDefault="00B30D5C">
      <w:pPr>
        <w:spacing w:after="0" w:line="240" w:lineRule="auto"/>
      </w:pPr>
      <w:r>
        <w:separator/>
      </w:r>
    </w:p>
  </w:footnote>
  <w:footnote w:type="continuationSeparator" w:id="0">
    <w:p w:rsidR="001107FF" w:rsidRDefault="00B3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B5921"/>
    <w:multiLevelType w:val="hybridMultilevel"/>
    <w:tmpl w:val="3DC28898"/>
    <w:lvl w:ilvl="0" w:tplc="B92A252C">
      <w:start w:val="1"/>
      <w:numFmt w:val="bullet"/>
      <w:lvlText w:val="l"/>
      <w:lvlJc w:val="left"/>
      <w:pPr>
        <w:ind w:left="1428" w:hanging="360"/>
      </w:pPr>
      <w:rPr>
        <w:rFonts w:cs="Symbol"/>
        <w:sz w:val="28"/>
      </w:rPr>
    </w:lvl>
    <w:lvl w:ilvl="1" w:tplc="815051CA">
      <w:start w:val="1"/>
      <w:numFmt w:val="bullet"/>
      <w:lvlText w:val="o"/>
      <w:lvlJc w:val="left"/>
      <w:pPr>
        <w:ind w:left="2148" w:hanging="360"/>
      </w:pPr>
      <w:rPr>
        <w:rFonts w:cs="Courier New"/>
      </w:rPr>
    </w:lvl>
    <w:lvl w:ilvl="2" w:tplc="21F65A0E">
      <w:start w:val="1"/>
      <w:numFmt w:val="bullet"/>
      <w:lvlText w:val="l"/>
      <w:lvlJc w:val="left"/>
      <w:pPr>
        <w:ind w:left="2868" w:hanging="360"/>
      </w:pPr>
      <w:rPr>
        <w:rFonts w:cs="Wingdings"/>
      </w:rPr>
    </w:lvl>
    <w:lvl w:ilvl="3" w:tplc="228EFB26">
      <w:start w:val="1"/>
      <w:numFmt w:val="bullet"/>
      <w:lvlText w:val="l"/>
      <w:lvlJc w:val="left"/>
      <w:pPr>
        <w:ind w:left="3588" w:hanging="360"/>
      </w:pPr>
      <w:rPr>
        <w:rFonts w:cs="Symbol"/>
      </w:rPr>
    </w:lvl>
    <w:lvl w:ilvl="4" w:tplc="873808AE">
      <w:start w:val="1"/>
      <w:numFmt w:val="bullet"/>
      <w:lvlText w:val="o"/>
      <w:lvlJc w:val="left"/>
      <w:pPr>
        <w:ind w:left="4308" w:hanging="360"/>
      </w:pPr>
      <w:rPr>
        <w:rFonts w:cs="Courier New"/>
      </w:rPr>
    </w:lvl>
    <w:lvl w:ilvl="5" w:tplc="5F246A14">
      <w:start w:val="1"/>
      <w:numFmt w:val="bullet"/>
      <w:lvlText w:val="l"/>
      <w:lvlJc w:val="left"/>
      <w:pPr>
        <w:ind w:left="5028" w:hanging="360"/>
      </w:pPr>
      <w:rPr>
        <w:rFonts w:cs="Wingdings"/>
      </w:rPr>
    </w:lvl>
    <w:lvl w:ilvl="6" w:tplc="F7F2C420">
      <w:start w:val="1"/>
      <w:numFmt w:val="bullet"/>
      <w:lvlText w:val="l"/>
      <w:lvlJc w:val="left"/>
      <w:pPr>
        <w:ind w:left="5748" w:hanging="360"/>
      </w:pPr>
      <w:rPr>
        <w:rFonts w:cs="Symbol"/>
      </w:rPr>
    </w:lvl>
    <w:lvl w:ilvl="7" w:tplc="B776CC52">
      <w:start w:val="1"/>
      <w:numFmt w:val="bullet"/>
      <w:lvlText w:val="o"/>
      <w:lvlJc w:val="left"/>
      <w:pPr>
        <w:ind w:left="6468" w:hanging="360"/>
      </w:pPr>
      <w:rPr>
        <w:rFonts w:cs="Courier New"/>
      </w:rPr>
    </w:lvl>
    <w:lvl w:ilvl="8" w:tplc="FF667BEE">
      <w:start w:val="1"/>
      <w:numFmt w:val="bullet"/>
      <w:lvlText w:val="l"/>
      <w:lvlJc w:val="left"/>
      <w:pPr>
        <w:ind w:left="7188" w:hanging="360"/>
      </w:pPr>
      <w:rPr>
        <w:rFonts w:cs="Wingdings"/>
      </w:rPr>
    </w:lvl>
  </w:abstractNum>
  <w:abstractNum w:abstractNumId="1">
    <w:nsid w:val="7B37386C"/>
    <w:multiLevelType w:val="hybridMultilevel"/>
    <w:tmpl w:val="7E8401CE"/>
    <w:lvl w:ilvl="0" w:tplc="998E6582">
      <w:start w:val="1"/>
      <w:numFmt w:val="none"/>
      <w:suff w:val="nothing"/>
      <w:lvlText w:val=""/>
      <w:lvlJc w:val="left"/>
      <w:pPr>
        <w:ind w:left="0" w:firstLine="0"/>
      </w:pPr>
    </w:lvl>
    <w:lvl w:ilvl="1" w:tplc="AD505E34">
      <w:start w:val="1"/>
      <w:numFmt w:val="none"/>
      <w:suff w:val="nothing"/>
      <w:lvlText w:val=""/>
      <w:lvlJc w:val="left"/>
      <w:pPr>
        <w:ind w:left="0" w:firstLine="0"/>
      </w:pPr>
    </w:lvl>
    <w:lvl w:ilvl="2" w:tplc="76B8D83C">
      <w:start w:val="1"/>
      <w:numFmt w:val="none"/>
      <w:suff w:val="nothing"/>
      <w:lvlText w:val=""/>
      <w:lvlJc w:val="left"/>
      <w:pPr>
        <w:ind w:left="0" w:firstLine="0"/>
      </w:pPr>
    </w:lvl>
    <w:lvl w:ilvl="3" w:tplc="ECDC3E2E">
      <w:start w:val="1"/>
      <w:numFmt w:val="none"/>
      <w:suff w:val="nothing"/>
      <w:lvlText w:val=""/>
      <w:lvlJc w:val="left"/>
      <w:pPr>
        <w:ind w:left="0" w:firstLine="0"/>
      </w:pPr>
    </w:lvl>
    <w:lvl w:ilvl="4" w:tplc="E932D130">
      <w:start w:val="1"/>
      <w:numFmt w:val="none"/>
      <w:suff w:val="nothing"/>
      <w:lvlText w:val=""/>
      <w:lvlJc w:val="left"/>
      <w:pPr>
        <w:ind w:left="0" w:firstLine="0"/>
      </w:pPr>
    </w:lvl>
    <w:lvl w:ilvl="5" w:tplc="A68241CA">
      <w:start w:val="1"/>
      <w:numFmt w:val="none"/>
      <w:suff w:val="nothing"/>
      <w:lvlText w:val=""/>
      <w:lvlJc w:val="left"/>
      <w:pPr>
        <w:ind w:left="0" w:firstLine="0"/>
      </w:pPr>
    </w:lvl>
    <w:lvl w:ilvl="6" w:tplc="6346D1E6">
      <w:start w:val="1"/>
      <w:numFmt w:val="none"/>
      <w:suff w:val="nothing"/>
      <w:lvlText w:val=""/>
      <w:lvlJc w:val="left"/>
      <w:pPr>
        <w:ind w:left="0" w:firstLine="0"/>
      </w:pPr>
    </w:lvl>
    <w:lvl w:ilvl="7" w:tplc="0F94DC04">
      <w:start w:val="1"/>
      <w:numFmt w:val="none"/>
      <w:suff w:val="nothing"/>
      <w:lvlText w:val=""/>
      <w:lvlJc w:val="left"/>
      <w:pPr>
        <w:ind w:left="0" w:firstLine="0"/>
      </w:pPr>
    </w:lvl>
    <w:lvl w:ilvl="8" w:tplc="41E413C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FF"/>
    <w:rsid w:val="001107FF"/>
    <w:rsid w:val="00B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1C74-D906-4159-AB32-91D9E04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-1" w:hanging="1"/>
      <w:outlineLvl w:val="0"/>
    </w:pPr>
    <w:rPr>
      <w:rFonts w:cs="Calibri"/>
      <w:sz w:val="22"/>
      <w:vertAlign w:val="subscript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Оглавление 1 Знак"/>
    <w:basedOn w:val="a0"/>
    <w:link w:val="13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Обычный (Интернет)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pPr>
      <w:spacing w:after="0"/>
      <w:ind w:left="720" w:firstLine="0"/>
      <w:contextualSpacing/>
    </w:pPr>
  </w:style>
  <w:style w:type="paragraph" w:styleId="af0">
    <w:name w:val="No Spacing"/>
    <w:uiPriority w:val="1"/>
    <w:qFormat/>
    <w:rPr>
      <w:sz w:val="22"/>
    </w:rPr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 w:firstLine="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 w:firstLine="0"/>
    </w:pPr>
    <w:rPr>
      <w:i/>
    </w:rPr>
  </w:style>
  <w:style w:type="paragraph" w:styleId="af4">
    <w:name w:val="header"/>
    <w:aliases w:val="Оглавление 4 Знак"/>
    <w:basedOn w:val="a"/>
    <w:link w:val="4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link w:val="12"/>
    <w:uiPriority w:val="39"/>
    <w:unhideWhenUsed/>
    <w:pPr>
      <w:spacing w:after="57"/>
      <w:ind w:left="0" w:firstLine="0"/>
    </w:pPr>
  </w:style>
  <w:style w:type="paragraph" w:styleId="22">
    <w:name w:val="toc 2"/>
    <w:basedOn w:val="a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,Оглавление 4 Знак Знак"/>
    <w:basedOn w:val="a"/>
    <w:link w:val="af4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qFormat/>
    <w:rPr>
      <w:sz w:val="22"/>
    </w:rPr>
  </w:style>
  <w:style w:type="paragraph" w:styleId="af9">
    <w:name w:val="table of figures"/>
    <w:basedOn w:val="a"/>
    <w:uiPriority w:val="99"/>
    <w:unhideWhenUsed/>
    <w:qFormat/>
    <w:pPr>
      <w:spacing w:after="0"/>
    </w:pPr>
  </w:style>
  <w:style w:type="paragraph" w:styleId="afa">
    <w:name w:val="Normal (Web)"/>
    <w:basedOn w:val="a"/>
    <w:uiPriority w:val="99"/>
    <w:unhideWhenUsed/>
    <w:qFormat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qFormat/>
    <w:pPr>
      <w:spacing w:after="0" w:line="240" w:lineRule="auto"/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qFormat/>
    <w:pPr>
      <w:spacing w:line="276" w:lineRule="auto"/>
      <w:ind w:left="-1" w:hanging="1"/>
      <w:jc w:val="both"/>
      <w:outlineLvl w:val="0"/>
    </w:pPr>
    <w:rPr>
      <w:rFonts w:ascii="Times New Roman" w:eastAsia="Times New Roman" w:hAnsi="Times New Roman" w:cs="Calibri"/>
      <w:color w:val="000000"/>
      <w:sz w:val="24"/>
      <w:szCs w:val="24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buhgalter</cp:lastModifiedBy>
  <cp:revision>2</cp:revision>
  <dcterms:created xsi:type="dcterms:W3CDTF">2023-03-16T07:46:00Z</dcterms:created>
  <dcterms:modified xsi:type="dcterms:W3CDTF">2023-03-16T07:46:00Z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