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png" ContentType="image/png"/>
  <Override PartName="/word/media/image4.jpeg" ContentType="image/jpeg"/>
  <Override PartName="/word/media/image5.jpeg" ContentType="image/jpeg"/>
  <Override PartName="/word/media/image6.jpeg" ContentType="image/jpe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uto" w:line="238" w:before="0" w:after="54"/>
        <w:ind w:hanging="0" w:start="0" w:end="491"/>
        <w:jc w:val="end"/>
        <w:rPr/>
      </w:pPr>
      <w:r>
        <w:rPr/>
        <w:t xml:space="preserve">Проект </w:t>
      </w:r>
    </w:p>
    <w:p>
      <w:pPr>
        <w:pStyle w:val="Normal"/>
        <w:bidi w:val="0"/>
        <w:spacing w:lineRule="auto" w:line="240" w:before="0" w:after="8"/>
        <w:ind w:hanging="0" w:start="0" w:end="0"/>
        <w:jc w:val="center"/>
        <w:rPr/>
      </w:pPr>
      <w:r>
        <w:rPr/>
        <w:drawing>
          <wp:inline distT="0" distB="0" distL="0" distR="0">
            <wp:extent cx="913765" cy="799465"/>
            <wp:effectExtent l="0" t="0" r="0" b="0"/>
            <wp:docPr id="1" name="Picture 680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805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 w:cs="Calibri" w:ascii="Calibri" w:hAnsi="Calibri"/>
        </w:rPr>
        <w:t xml:space="preserve"> </w:t>
      </w:r>
    </w:p>
    <w:p>
      <w:pPr>
        <w:pStyle w:val="Normal"/>
        <w:bidi w:val="0"/>
        <w:spacing w:before="0" w:after="54"/>
        <w:ind w:hanging="0" w:start="0" w:end="-15"/>
        <w:jc w:val="center"/>
        <w:rPr>
          <w:b/>
        </w:rPr>
      </w:pPr>
      <w:r>
        <w:rPr>
          <w:b/>
        </w:rPr>
        <w:t>МИНИСТЕРСТВО ЦИФРОВОГО РАЗВИТИЯ</w:t>
      </w:r>
    </w:p>
    <w:p>
      <w:pPr>
        <w:pStyle w:val="Normal"/>
        <w:bidi w:val="0"/>
        <w:spacing w:before="0" w:after="55"/>
        <w:ind w:hanging="0" w:start="0" w:end="-15"/>
        <w:jc w:val="center"/>
        <w:rPr>
          <w:b/>
        </w:rPr>
      </w:pPr>
      <w:r>
        <w:rPr>
          <w:b/>
        </w:rPr>
        <w:t>РЕСПУБЛИКИ ТЫВА</w:t>
      </w:r>
    </w:p>
    <w:p>
      <w:pPr>
        <w:pStyle w:val="Normal"/>
        <w:bidi w:val="0"/>
        <w:spacing w:lineRule="auto" w:line="240" w:before="0" w:after="83"/>
        <w:ind w:hanging="0" w:start="0" w:end="0"/>
        <w:jc w:val="center"/>
        <w:rPr/>
      </w:pPr>
      <w:r>
        <w:rPr/>
        <w:t xml:space="preserve"> </w:t>
      </w:r>
    </w:p>
    <w:p>
      <w:pPr>
        <w:pStyle w:val="Normal"/>
        <w:bidi w:val="0"/>
        <w:spacing w:lineRule="auto" w:line="240" w:before="0" w:after="51"/>
        <w:ind w:hanging="0" w:start="0" w:end="0"/>
        <w:jc w:val="center"/>
        <w:rPr/>
      </w:pPr>
      <w:r>
        <w:rPr>
          <w:b/>
          <w:sz w:val="36"/>
        </w:rPr>
        <w:t>ПРИКАЗ</w:t>
      </w:r>
      <w:r>
        <w:rPr>
          <w:rFonts w:eastAsia="Arial" w:cs="Arial" w:ascii="Arial" w:hAnsi="Arial"/>
          <w:b/>
          <w:sz w:val="36"/>
        </w:rPr>
        <w:t xml:space="preserve"> </w:t>
      </w:r>
    </w:p>
    <w:p>
      <w:pPr>
        <w:pStyle w:val="Normal"/>
        <w:bidi w:val="0"/>
        <w:spacing w:lineRule="auto" w:line="240" w:before="0" w:after="0"/>
        <w:ind w:hanging="0" w:start="0" w:end="0"/>
        <w:jc w:val="center"/>
        <w:rPr/>
      </w:pPr>
      <w:r>
        <w:rPr/>
        <w:t xml:space="preserve"> </w:t>
      </w:r>
    </w:p>
    <w:p>
      <w:pPr>
        <w:pStyle w:val="Normal"/>
        <w:bidi w:val="0"/>
        <w:spacing w:lineRule="auto" w:line="240" w:before="0" w:after="47"/>
        <w:ind w:hanging="0" w:start="0" w:end="0"/>
        <w:jc w:val="start"/>
        <w:rPr/>
      </w:pPr>
      <w:r>
        <w:rPr/>
        <w:drawing>
          <wp:inline distT="0" distB="0" distL="0" distR="0">
            <wp:extent cx="1943100" cy="155575"/>
            <wp:effectExtent l="0" t="0" r="0" b="0"/>
            <wp:docPr id="2" name="Picture 4677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6774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7"/>
        </w:rPr>
        <w:tab/>
        <w:t xml:space="preserve"> </w:t>
      </w:r>
    </w:p>
    <w:p>
      <w:pPr>
        <w:pStyle w:val="Normal"/>
        <w:bidi w:val="0"/>
        <w:spacing w:lineRule="auto" w:line="240" w:before="0" w:after="126"/>
        <w:ind w:hanging="0" w:start="0" w:end="0"/>
        <w:jc w:val="start"/>
        <w:rPr/>
      </w:pPr>
      <w:r>
        <w:rPr/>
        <w:t xml:space="preserve"> </w:t>
      </w:r>
    </w:p>
    <w:p>
      <w:pPr>
        <w:pStyle w:val="Normal"/>
        <w:bidi w:val="0"/>
        <w:spacing w:before="0" w:after="54"/>
        <w:ind w:hanging="0" w:start="0" w:end="-15"/>
        <w:jc w:val="center"/>
        <w:rPr>
          <w:b/>
        </w:rPr>
      </w:pPr>
      <w:r>
        <w:rPr>
          <w:b/>
        </w:rPr>
        <w:t>Об организации системы внутреннего обеспечения соответствия требованиям антимонопольного законодательства (антимонопольного комплаенса) в Министерстве цифрового развития Республики Тыва</w:t>
      </w:r>
    </w:p>
    <w:p>
      <w:pPr>
        <w:pStyle w:val="Normal"/>
        <w:bidi w:val="0"/>
        <w:spacing w:lineRule="auto" w:line="240" w:before="0" w:after="54"/>
        <w:ind w:hanging="0" w:start="0" w:end="0"/>
        <w:jc w:val="start"/>
        <w:rPr/>
      </w:pPr>
      <w:r>
        <w:rPr/>
        <w:t xml:space="preserve">  </w:t>
      </w:r>
    </w:p>
    <w:p>
      <w:pPr>
        <w:pStyle w:val="Normal"/>
        <w:bidi w:val="0"/>
        <w:ind w:firstLine="708" w:start="0" w:end="493"/>
        <w:jc w:val="start"/>
        <w:rPr/>
      </w:pPr>
      <w:r>
        <w:rPr/>
        <w:t>Во исполнение</w:t>
      </w:r>
      <w:r>
        <w:fldChar w:fldCharType="begin"/>
      </w:r>
      <w:r>
        <w:rPr>
          <w:rStyle w:val="Style9"/>
        </w:rPr>
        <w:instrText xml:space="preserve"> HYPERLINK "https://docs.cntd.ru/document/556098509" \l "64U0IK"</w:instrText>
      </w:r>
      <w:r>
        <w:rPr>
          <w:rStyle w:val="Style9"/>
        </w:rPr>
        <w:fldChar w:fldCharType="separate"/>
      </w:r>
      <w:r>
        <w:rPr>
          <w:rStyle w:val="Style9"/>
        </w:rPr>
        <w:t xml:space="preserve"> Указа Президента Российской Федерации от 21 декабря 2017 г. </w:t>
      </w:r>
      <w:r>
        <w:rPr>
          <w:rStyle w:val="Style9"/>
        </w:rPr>
        <w:fldChar w:fldCharType="end"/>
      </w:r>
      <w:r>
        <w:rPr/>
        <w:t xml:space="preserve">№ 618 «Об основных направлениях государственной политики по </w:t>
      </w:r>
      <w:r>
        <w:fldChar w:fldCharType="begin"/>
      </w:r>
      <w:r>
        <w:rPr>
          <w:rStyle w:val="Style9"/>
        </w:rPr>
        <w:instrText xml:space="preserve"> HYPERLINK "https://docs.cntd.ru/document/556098509" \l "64U0IK"</w:instrText>
      </w:r>
      <w:r>
        <w:rPr>
          <w:rStyle w:val="Style9"/>
        </w:rPr>
        <w:fldChar w:fldCharType="separate"/>
      </w:r>
      <w:r>
        <w:rPr>
          <w:rStyle w:val="Style9"/>
        </w:rPr>
        <w:t xml:space="preserve">развитию конкуренции» </w:t>
      </w:r>
      <w:r>
        <w:rPr>
          <w:rStyle w:val="Style9"/>
        </w:rPr>
        <w:fldChar w:fldCharType="end"/>
      </w:r>
      <w:r>
        <w:rPr/>
        <w:t xml:space="preserve">приказываю: </w:t>
      </w:r>
    </w:p>
    <w:p>
      <w:pPr>
        <w:pStyle w:val="Normal"/>
        <w:bidi w:val="0"/>
        <w:ind w:firstLine="708" w:start="0" w:end="493"/>
        <w:jc w:val="start"/>
        <w:rPr/>
      </w:pPr>
      <w:r>
        <w:rPr/>
      </w:r>
    </w:p>
    <w:p>
      <w:pPr>
        <w:pStyle w:val="Normal"/>
        <w:numPr>
          <w:ilvl w:val="0"/>
          <w:numId w:val="1"/>
        </w:numPr>
        <w:bidi w:val="0"/>
        <w:spacing w:lineRule="atLeast" w:line="240" w:before="0" w:after="0"/>
        <w:ind w:hanging="0" w:start="0" w:end="493"/>
        <w:jc w:val="start"/>
        <w:rPr/>
      </w:pPr>
      <w:r>
        <w:rPr/>
        <w:t xml:space="preserve">Утвердить прилагаемое Положение об организации системы внутреннего обеспечения соответствия требованиям антимонопольного законодательства (антимонопольного комплаенса) в Министерстве цифрового развития Республики Тыва (далее - Министерство). </w:t>
      </w:r>
    </w:p>
    <w:p>
      <w:pPr>
        <w:pStyle w:val="Normal"/>
        <w:numPr>
          <w:ilvl w:val="0"/>
          <w:numId w:val="1"/>
        </w:numPr>
        <w:bidi w:val="0"/>
        <w:spacing w:lineRule="atLeast" w:line="240" w:before="0" w:after="0"/>
        <w:ind w:hanging="0" w:start="0" w:end="493"/>
        <w:jc w:val="start"/>
        <w:rPr/>
      </w:pPr>
      <w:r>
        <w:rPr/>
        <w:t xml:space="preserve">Определить отдел финансового, правового и кадрового обеспечения Министерства уполномоченным подразделением, ответственным за организацию и функционирования системы внутреннего обеспечения соответствия требованиям антимонопольного законодательства (антимонопольного комплаенса) в Министерстве. </w:t>
      </w:r>
    </w:p>
    <w:p>
      <w:pPr>
        <w:pStyle w:val="Normal"/>
        <w:numPr>
          <w:ilvl w:val="0"/>
          <w:numId w:val="1"/>
        </w:numPr>
        <w:bidi w:val="0"/>
        <w:spacing w:lineRule="atLeast" w:line="240" w:before="0" w:after="0"/>
        <w:ind w:hanging="0" w:start="0" w:end="493"/>
        <w:jc w:val="start"/>
        <w:rPr/>
      </w:pPr>
      <w:r>
        <w:rPr/>
        <w:t xml:space="preserve">Отделу финансового, правового и кадрового обеспечения Министерства обеспечить ознакомление государственных гражданских служащих с настоящим приказом. </w:t>
      </w:r>
    </w:p>
    <w:p>
      <w:pPr>
        <w:pStyle w:val="Normal"/>
        <w:numPr>
          <w:ilvl w:val="0"/>
          <w:numId w:val="1"/>
        </w:numPr>
        <w:bidi w:val="0"/>
        <w:spacing w:lineRule="atLeast" w:line="240" w:before="0" w:after="0"/>
        <w:ind w:hanging="0" w:start="0" w:end="493"/>
        <w:jc w:val="start"/>
        <w:rPr/>
      </w:pPr>
      <w:r>
        <w:rPr/>
        <w:t xml:space="preserve">Разместить настоящий приказ на «Официальном интернет-портале правовой информации» (www.pravo.gov.ru) и официальном сайте Министерства цифрового развития Республики Тыва в информационно-телекоммуникационной сети «Интернет». </w:t>
      </w:r>
    </w:p>
    <w:p>
      <w:pPr>
        <w:pStyle w:val="Normal"/>
        <w:numPr>
          <w:ilvl w:val="0"/>
          <w:numId w:val="1"/>
        </w:numPr>
        <w:bidi w:val="0"/>
        <w:spacing w:lineRule="atLeast" w:line="240" w:before="0" w:after="0"/>
        <w:ind w:hanging="0" w:start="0" w:end="493"/>
        <w:jc w:val="start"/>
        <w:rPr/>
      </w:pPr>
      <w:r>
        <w:rPr/>
        <w:t xml:space="preserve">Настоящий приказ вступает в силу со дня его официального опубликования. </w:t>
      </w:r>
    </w:p>
    <w:p>
      <w:pPr>
        <w:pStyle w:val="Normal"/>
        <w:numPr>
          <w:ilvl w:val="0"/>
          <w:numId w:val="1"/>
        </w:numPr>
        <w:bidi w:val="0"/>
        <w:spacing w:lineRule="atLeast" w:line="240" w:before="0" w:after="0"/>
        <w:ind w:hanging="0" w:start="0" w:end="493"/>
        <w:jc w:val="start"/>
        <w:rPr/>
      </w:pPr>
      <w:r>
        <w:rPr/>
        <w:t xml:space="preserve">Контроль за исполнением настоящего приказа оставляю за собой. </w:t>
      </w:r>
    </w:p>
    <w:p>
      <w:pPr>
        <w:pStyle w:val="Normal"/>
        <w:bidi w:val="0"/>
        <w:spacing w:lineRule="auto" w:line="240" w:before="0" w:after="57"/>
        <w:ind w:hanging="0" w:start="0" w:end="0"/>
        <w:jc w:val="start"/>
        <w:rPr/>
      </w:pPr>
      <w:r>
        <w:rPr/>
        <w:t xml:space="preserve">  </w:t>
      </w:r>
    </w:p>
    <w:p>
      <w:pPr>
        <w:pStyle w:val="Normal"/>
        <w:bidi w:val="0"/>
        <w:spacing w:lineRule="auto" w:line="240" w:before="0" w:after="54"/>
        <w:ind w:hanging="0" w:start="0" w:end="4210"/>
        <w:jc w:val="start"/>
        <w:rPr/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2087245</wp:posOffset>
            </wp:positionH>
            <wp:positionV relativeFrom="paragraph">
              <wp:posOffset>16510</wp:posOffset>
            </wp:positionV>
            <wp:extent cx="2072640" cy="902335"/>
            <wp:effectExtent l="0" t="0" r="0" b="0"/>
            <wp:wrapNone/>
            <wp:docPr id="3" name="Рисунок 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bidi w:val="0"/>
        <w:spacing w:lineRule="auto" w:line="240" w:before="0" w:after="54"/>
        <w:ind w:hanging="0" w:start="0" w:end="212"/>
        <w:jc w:val="start"/>
        <w:rPr/>
      </w:pPr>
      <w:r>
        <w:rPr/>
        <w:t xml:space="preserve"> </w:t>
      </w:r>
      <w:r>
        <w:rPr/>
        <w:t xml:space="preserve">Министр                                                                                                  И.Б. Монгуш                                                                   </w:t>
      </w:r>
    </w:p>
    <w:p>
      <w:pPr>
        <w:pStyle w:val="Normal"/>
        <w:bidi w:val="0"/>
        <w:spacing w:lineRule="auto" w:line="240" w:before="0" w:after="54"/>
        <w:ind w:hanging="0" w:start="0" w:end="71"/>
        <w:jc w:val="end"/>
        <w:rPr/>
      </w:pPr>
      <w:r>
        <w:rPr/>
      </w:r>
    </w:p>
    <w:p>
      <w:pPr>
        <w:pStyle w:val="Normal"/>
        <w:bidi w:val="0"/>
        <w:spacing w:lineRule="auto" w:line="240" w:before="0" w:after="54"/>
        <w:ind w:hanging="0" w:start="0" w:end="71"/>
        <w:jc w:val="end"/>
        <w:rPr/>
      </w:pPr>
      <w:r>
        <w:rPr/>
        <w:t xml:space="preserve">Утверждено </w:t>
      </w:r>
    </w:p>
    <w:p>
      <w:pPr>
        <w:pStyle w:val="Normal"/>
        <w:bidi w:val="0"/>
        <w:spacing w:lineRule="auto" w:line="240" w:before="0" w:after="54"/>
        <w:ind w:hanging="0" w:start="0" w:end="71"/>
        <w:jc w:val="end"/>
        <w:rPr/>
      </w:pPr>
      <w:r>
        <w:rPr/>
        <w:t xml:space="preserve">приказом Министерства цифрового  </w:t>
      </w:r>
      <w:r>
        <w:rPr>
          <w:b/>
        </w:rPr>
        <w:t xml:space="preserve">                            </w:t>
      </w:r>
      <w:r>
        <w:rPr/>
        <w:t xml:space="preserve">                    </w:t>
      </w:r>
    </w:p>
    <w:p>
      <w:pPr>
        <w:pStyle w:val="Normal"/>
        <w:bidi w:val="0"/>
        <w:spacing w:lineRule="auto" w:line="240" w:before="0" w:after="54"/>
        <w:ind w:hanging="0" w:start="0" w:end="71"/>
        <w:jc w:val="end"/>
        <w:rPr/>
      </w:pPr>
      <w:r>
        <w:rPr/>
        <w:t xml:space="preserve">           </w:t>
      </w:r>
      <w:r>
        <w:rPr/>
        <w:t xml:space="preserve">развития Республики Тыва                                                                                </w:t>
      </w:r>
    </w:p>
    <w:p>
      <w:pPr>
        <w:pStyle w:val="Normal"/>
        <w:bidi w:val="0"/>
        <w:spacing w:lineRule="auto" w:line="240" w:before="0" w:after="54"/>
        <w:ind w:hanging="0" w:start="0" w:end="71"/>
        <w:jc w:val="end"/>
        <w:rPr/>
      </w:pPr>
      <w:r>
        <w:rPr/>
        <w:t xml:space="preserve">от ___ ________ г. №___-ОД </w:t>
      </w:r>
      <w:r>
        <w:rPr>
          <w:b/>
        </w:rPr>
        <w:t xml:space="preserve"> </w:t>
      </w:r>
    </w:p>
    <w:p>
      <w:pPr>
        <w:pStyle w:val="Normal"/>
        <w:bidi w:val="0"/>
        <w:spacing w:lineRule="auto" w:line="240" w:before="0" w:after="59"/>
        <w:ind w:hanging="0" w:start="0" w:end="496"/>
        <w:jc w:val="end"/>
        <w:rPr>
          <w:b/>
        </w:rPr>
      </w:pPr>
      <w:r>
        <w:rPr>
          <w:b/>
        </w:rPr>
        <w:t xml:space="preserve"> </w:t>
      </w:r>
    </w:p>
    <w:p>
      <w:pPr>
        <w:pStyle w:val="Normal"/>
        <w:bidi w:val="0"/>
        <w:spacing w:lineRule="auto" w:line="240" w:before="0" w:after="59"/>
        <w:ind w:hanging="0" w:start="0" w:end="0"/>
        <w:jc w:val="center"/>
        <w:rPr>
          <w:b/>
        </w:rPr>
      </w:pPr>
      <w:r>
        <w:rPr>
          <w:b/>
        </w:rPr>
        <w:t xml:space="preserve"> </w:t>
      </w:r>
    </w:p>
    <w:p>
      <w:pPr>
        <w:pStyle w:val="Normal"/>
        <w:bidi w:val="0"/>
        <w:spacing w:before="0" w:after="55"/>
        <w:ind w:hanging="0" w:start="0" w:end="-15"/>
        <w:jc w:val="center"/>
        <w:rPr>
          <w:b/>
        </w:rPr>
      </w:pPr>
      <w:r>
        <w:rPr>
          <w:b/>
        </w:rPr>
        <w:t xml:space="preserve">Положение  </w:t>
      </w:r>
    </w:p>
    <w:p>
      <w:pPr>
        <w:pStyle w:val="Normal"/>
        <w:bidi w:val="0"/>
        <w:spacing w:before="0" w:after="54"/>
        <w:ind w:hanging="0" w:start="0" w:end="-15"/>
        <w:jc w:val="center"/>
        <w:rPr>
          <w:b/>
        </w:rPr>
      </w:pPr>
      <w:r>
        <w:rPr>
          <w:b/>
        </w:rPr>
        <w:t>об организации системы внутреннего обеспечения соответствия требованиям антимонопольного законодательства (антимонопольного комплаенса) в Министерстве цифрового развития Республики Тыва</w:t>
      </w:r>
    </w:p>
    <w:p>
      <w:pPr>
        <w:pStyle w:val="Normal"/>
        <w:bidi w:val="0"/>
        <w:spacing w:lineRule="atLeast" w:line="140" w:before="0" w:after="100"/>
        <w:ind w:hanging="0" w:start="0" w:end="0"/>
        <w:jc w:val="center"/>
        <w:rPr>
          <w:b/>
        </w:rPr>
      </w:pPr>
      <w:r>
        <w:rPr>
          <w:b/>
        </w:rPr>
        <w:t xml:space="preserve"> </w:t>
      </w:r>
    </w:p>
    <w:p>
      <w:pPr>
        <w:pStyle w:val="Normal"/>
        <w:bidi w:val="0"/>
        <w:spacing w:before="0" w:after="55"/>
        <w:ind w:hanging="0" w:start="0" w:end="-15"/>
        <w:jc w:val="center"/>
        <w:rPr>
          <w:b/>
        </w:rPr>
      </w:pPr>
      <w:r>
        <w:rPr>
          <w:b/>
        </w:rPr>
        <w:t xml:space="preserve">1. Общие положения </w:t>
      </w:r>
    </w:p>
    <w:p>
      <w:pPr>
        <w:pStyle w:val="Normal"/>
        <w:bidi w:val="0"/>
        <w:spacing w:lineRule="atLeast" w:line="180" w:before="0" w:after="57"/>
        <w:ind w:hanging="0" w:start="0" w:end="0"/>
        <w:jc w:val="start"/>
        <w:rPr/>
      </w:pPr>
      <w:r>
        <w:rPr/>
      </w:r>
      <w:bookmarkStart w:id="0" w:name="_GoBack"/>
      <w:bookmarkStart w:id="1" w:name="_GoBack"/>
    </w:p>
    <w:p>
      <w:pPr>
        <w:pStyle w:val="Normal"/>
        <w:numPr>
          <w:ilvl w:val="1"/>
          <w:numId w:val="2"/>
        </w:numPr>
        <w:bidi w:val="0"/>
        <w:spacing w:lineRule="auto" w:line="240" w:before="0" w:after="0"/>
        <w:ind w:firstLine="567" w:start="0" w:end="493"/>
        <w:jc w:val="start"/>
        <w:rPr/>
      </w:pPr>
      <w:r>
        <w:rPr/>
        <w:t xml:space="preserve">Настоящее Положение определяет порядок внутреннего обеспечения соответствия требованиям антимонопольного законодательства (далее - антимонопольный комплаенс) в Министерстве цифрового развития Республики Тыва (далее - Министерство). </w:t>
      </w:r>
    </w:p>
    <w:p>
      <w:pPr>
        <w:pStyle w:val="Normal"/>
        <w:numPr>
          <w:ilvl w:val="1"/>
          <w:numId w:val="2"/>
        </w:numPr>
        <w:bidi w:val="0"/>
        <w:spacing w:lineRule="auto" w:line="240" w:before="0" w:after="0"/>
        <w:ind w:firstLine="567" w:start="0" w:end="493"/>
        <w:jc w:val="start"/>
        <w:rPr/>
      </w:pPr>
      <w:r>
        <w:rPr/>
        <w:t xml:space="preserve">Термины, используемые в настоящем Положении, означают следующее: </w:t>
      </w:r>
    </w:p>
    <w:p>
      <w:pPr>
        <w:pStyle w:val="Normal"/>
        <w:bidi w:val="0"/>
        <w:spacing w:lineRule="auto" w:line="240" w:before="0" w:after="0"/>
        <w:ind w:firstLine="567" w:start="0" w:end="0"/>
        <w:jc w:val="start"/>
        <w:rPr/>
      </w:pPr>
      <w:r>
        <w:rPr/>
        <w:t xml:space="preserve">антимонопольный орган - федеральный антимонопольный орган и его территориальные органы; </w:t>
      </w:r>
    </w:p>
    <w:p>
      <w:pPr>
        <w:pStyle w:val="Normal"/>
        <w:bidi w:val="0"/>
        <w:spacing w:lineRule="auto" w:line="240" w:before="0" w:after="0"/>
        <w:ind w:firstLine="567" w:start="0" w:end="0"/>
        <w:jc w:val="start"/>
        <w:rPr/>
      </w:pPr>
      <w:r>
        <w:rPr/>
        <w:t xml:space="preserve">доклад об антимонопольном комплаенсе - документ, содержащий информацию об организации в Министерстве антимонопольного комплаенса и о его функционировании; </w:t>
      </w:r>
    </w:p>
    <w:p>
      <w:pPr>
        <w:pStyle w:val="Normal"/>
        <w:bidi w:val="0"/>
        <w:spacing w:lineRule="auto" w:line="240" w:before="0" w:after="0"/>
        <w:ind w:firstLine="567" w:start="0" w:end="0"/>
        <w:jc w:val="start"/>
        <w:rPr/>
      </w:pPr>
      <w:r>
        <w:rPr/>
        <w:t xml:space="preserve">коллегиальный орган - совещательный орган Министерства, осуществляющий </w:t>
      </w:r>
    </w:p>
    <w:p>
      <w:pPr>
        <w:pStyle w:val="Normal"/>
        <w:bidi w:val="0"/>
        <w:spacing w:lineRule="auto" w:line="240" w:before="0" w:after="0"/>
        <w:ind w:hanging="0" w:start="0" w:end="394"/>
        <w:jc w:val="start"/>
        <w:rPr/>
      </w:pPr>
      <w:r>
        <w:rPr/>
        <w:t>оценку эффективности функционирования антимонопольного комплаенса;</w:t>
      </w:r>
    </w:p>
    <w:p>
      <w:pPr>
        <w:pStyle w:val="Normal"/>
        <w:bidi w:val="0"/>
        <w:spacing w:lineRule="auto" w:line="240" w:before="0" w:after="0"/>
        <w:ind w:firstLine="708" w:start="0" w:end="394"/>
        <w:jc w:val="start"/>
        <w:rPr/>
      </w:pPr>
      <w:r>
        <w:rPr/>
        <w:t xml:space="preserve">нарушение антимонопольного законодательства - недопущение, ограничение, устранение конкуренции Министерством; </w:t>
      </w:r>
    </w:p>
    <w:p>
      <w:pPr>
        <w:pStyle w:val="Normal"/>
        <w:bidi w:val="0"/>
        <w:spacing w:lineRule="auto" w:line="240" w:before="0" w:after="0"/>
        <w:ind w:firstLine="708" w:start="0" w:end="394"/>
        <w:jc w:val="start"/>
        <w:rPr/>
      </w:pPr>
      <w:r>
        <w:rPr/>
        <w:t xml:space="preserve">риски нарушения антимонопольного законодательства - сочетание вероятности и последствий наступления неблагоприятных событий в виде ограничения, устранения или недопущения конкуренции; </w:t>
      </w:r>
    </w:p>
    <w:p>
      <w:pPr>
        <w:pStyle w:val="Normal"/>
        <w:bidi w:val="0"/>
        <w:spacing w:lineRule="auto" w:line="240" w:before="0" w:after="0"/>
        <w:ind w:firstLine="708" w:start="0" w:end="394"/>
        <w:jc w:val="start"/>
        <w:rPr/>
      </w:pPr>
      <w:r>
        <w:rPr/>
        <w:t xml:space="preserve">уполномоченное подразделение - подразделение Министерства, осуществляющее внедрение антимонопольного комплаенса и контроль за его исполнением в органе исполнительной власти. </w:t>
      </w:r>
    </w:p>
    <w:p>
      <w:pPr>
        <w:pStyle w:val="Normal"/>
        <w:bidi w:val="0"/>
        <w:spacing w:lineRule="auto" w:line="240" w:before="0" w:after="0"/>
        <w:ind w:firstLine="708" w:start="0" w:end="0"/>
        <w:jc w:val="start"/>
        <w:rPr/>
      </w:pPr>
      <w:r>
        <w:rPr/>
        <w:t xml:space="preserve">1.3. Задачи антимонопольного комплаенса:  </w:t>
      </w:r>
    </w:p>
    <w:p>
      <w:pPr>
        <w:pStyle w:val="Normal"/>
        <w:bidi w:val="0"/>
        <w:spacing w:lineRule="auto" w:line="240" w:before="0" w:after="0"/>
        <w:ind w:firstLine="708" w:start="0" w:end="0"/>
        <w:jc w:val="start"/>
        <w:rPr/>
      </w:pPr>
      <w:r>
        <w:rPr/>
        <w:t xml:space="preserve">выявление рисков нарушений антимонопольного законодательства; </w:t>
      </w:r>
    </w:p>
    <w:p>
      <w:pPr>
        <w:pStyle w:val="Normal"/>
        <w:bidi w:val="0"/>
        <w:spacing w:lineRule="auto" w:line="240" w:before="0" w:after="0"/>
        <w:ind w:firstLine="708" w:start="0" w:end="0"/>
        <w:jc w:val="start"/>
        <w:rPr/>
      </w:pPr>
      <w:r>
        <w:rPr/>
        <w:t xml:space="preserve">управление рисками нарушений антимонопольного законодательства;  </w:t>
      </w:r>
    </w:p>
    <w:p>
      <w:pPr>
        <w:pStyle w:val="Normal"/>
        <w:bidi w:val="0"/>
        <w:spacing w:lineRule="auto" w:line="240" w:before="0" w:after="0"/>
        <w:ind w:firstLine="708" w:start="0" w:end="0"/>
        <w:jc w:val="start"/>
        <w:rPr/>
      </w:pPr>
      <w:r>
        <w:rPr/>
        <w:t xml:space="preserve">контроль </w:t>
        <w:tab/>
        <w:t xml:space="preserve">соответствия </w:t>
        <w:tab/>
        <w:t xml:space="preserve">деятельности </w:t>
        <w:tab/>
        <w:t xml:space="preserve">Министерства </w:t>
        <w:tab/>
        <w:t xml:space="preserve">требованиям </w:t>
      </w:r>
    </w:p>
    <w:p>
      <w:pPr>
        <w:pStyle w:val="Normal"/>
        <w:bidi w:val="0"/>
        <w:spacing w:lineRule="auto" w:line="240" w:before="0" w:after="0"/>
        <w:ind w:firstLine="708" w:start="0" w:end="493"/>
        <w:jc w:val="start"/>
        <w:rPr/>
      </w:pPr>
      <w:r>
        <w:rPr/>
        <w:t xml:space="preserve">антимонопольного законодательства; </w:t>
      </w:r>
    </w:p>
    <w:p>
      <w:pPr>
        <w:pStyle w:val="Normal"/>
        <w:bidi w:val="0"/>
        <w:spacing w:lineRule="auto" w:line="240" w:before="0" w:after="0"/>
        <w:ind w:firstLine="708" w:start="0" w:end="493"/>
        <w:jc w:val="start"/>
        <w:rPr/>
      </w:pPr>
      <w:r>
        <w:rPr/>
        <w:t xml:space="preserve">оценка эффективности функционирования антимонопольного комплаенса в Министерстве. </w:t>
      </w:r>
    </w:p>
    <w:p>
      <w:pPr>
        <w:pStyle w:val="Normal"/>
        <w:bidi w:val="0"/>
        <w:spacing w:lineRule="auto" w:line="240"/>
        <w:ind w:firstLine="708" w:start="0" w:end="0"/>
        <w:jc w:val="start"/>
        <w:rPr/>
      </w:pPr>
      <w:r>
        <w:rPr/>
        <w:t xml:space="preserve">1.4. Принципы антимонопольного комплаенса:  </w:t>
      </w:r>
    </w:p>
    <w:p>
      <w:pPr>
        <w:pStyle w:val="Normal"/>
        <w:bidi w:val="0"/>
        <w:ind w:firstLine="708" w:start="0" w:end="638"/>
        <w:jc w:val="start"/>
        <w:rPr/>
      </w:pPr>
      <w:r>
        <w:rPr/>
        <w:t xml:space="preserve">законность;  </w:t>
      </w:r>
    </w:p>
    <w:p>
      <w:pPr>
        <w:pStyle w:val="Normal"/>
        <w:bidi w:val="0"/>
        <w:ind w:firstLine="708" w:start="0" w:end="638"/>
        <w:jc w:val="start"/>
        <w:rPr/>
      </w:pPr>
      <w:r>
        <w:rPr/>
        <w:t xml:space="preserve">регулярность оценки рисков нарушения антимонопольного законодательства; </w:t>
      </w:r>
    </w:p>
    <w:p>
      <w:pPr>
        <w:pStyle w:val="Normal"/>
        <w:bidi w:val="0"/>
        <w:ind w:firstLine="708" w:start="0" w:end="0"/>
        <w:jc w:val="start"/>
        <w:rPr/>
      </w:pPr>
      <w:r>
        <w:rPr/>
        <w:t xml:space="preserve">информационная </w:t>
        <w:tab/>
        <w:t xml:space="preserve">открытость </w:t>
        <w:tab/>
        <w:t xml:space="preserve">действующего </w:t>
        <w:tab/>
        <w:t xml:space="preserve">в </w:t>
        <w:tab/>
        <w:t xml:space="preserve">Министерстве антимонопольного комплаенса; </w:t>
      </w:r>
    </w:p>
    <w:p>
      <w:pPr>
        <w:pStyle w:val="Normal"/>
        <w:bidi w:val="0"/>
        <w:ind w:firstLine="708" w:start="0" w:end="0"/>
        <w:jc w:val="start"/>
        <w:rPr/>
      </w:pPr>
      <w:r>
        <w:rPr/>
        <w:t xml:space="preserve">непрерывность анализа и функционирования антимонопольного комплаенса; совершенствование антимонопольного комплаенса. </w:t>
      </w:r>
    </w:p>
    <w:p>
      <w:pPr>
        <w:pStyle w:val="Normal"/>
        <w:bidi w:val="0"/>
        <w:spacing w:lineRule="auto" w:line="240" w:before="0" w:after="59"/>
        <w:ind w:hanging="0" w:start="0" w:end="0"/>
        <w:jc w:val="center"/>
        <w:rPr/>
      </w:pPr>
      <w:r>
        <w:rPr>
          <w:b/>
        </w:rPr>
        <w:t xml:space="preserve"> </w:t>
      </w:r>
    </w:p>
    <w:p>
      <w:pPr>
        <w:pStyle w:val="Normal"/>
        <w:numPr>
          <w:ilvl w:val="0"/>
          <w:numId w:val="3"/>
        </w:numPr>
        <w:tabs>
          <w:tab w:val="clear" w:pos="709"/>
          <w:tab w:val="left" w:pos="1560" w:leader="none"/>
          <w:tab w:val="left" w:pos="1985" w:leader="none"/>
        </w:tabs>
        <w:bidi w:val="0"/>
        <w:spacing w:before="0" w:after="55"/>
        <w:ind w:firstLine="2127" w:start="0" w:end="2197"/>
        <w:jc w:val="center"/>
        <w:rPr>
          <w:b/>
        </w:rPr>
      </w:pPr>
      <w:r>
        <w:rPr>
          <w:b/>
        </w:rPr>
        <w:t>Уполномоченное подразделение</w:t>
      </w:r>
    </w:p>
    <w:p>
      <w:pPr>
        <w:pStyle w:val="Normal"/>
        <w:tabs>
          <w:tab w:val="clear" w:pos="709"/>
          <w:tab w:val="left" w:pos="3687" w:leader="none"/>
          <w:tab w:val="left" w:pos="4112" w:leader="none"/>
        </w:tabs>
        <w:bidi w:val="0"/>
        <w:spacing w:before="0" w:after="55"/>
        <w:ind w:hanging="0" w:start="2127" w:end="2197"/>
        <w:jc w:val="start"/>
        <w:rPr/>
      </w:pPr>
      <w:r>
        <w:rPr/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В целях организации и функционирования антимонопольного комплаенса в Министерстве уполномоченным подразделением определен отдел финансового, правового и кадрового обеспечения Министерства, к функциональным обязанностям которого относятся: </w:t>
      </w:r>
    </w:p>
    <w:p>
      <w:pPr>
        <w:pStyle w:val="Normal"/>
        <w:bidi w:val="0"/>
        <w:ind w:firstLine="708" w:start="0" w:end="493"/>
        <w:jc w:val="start"/>
        <w:rPr/>
      </w:pPr>
      <w:r>
        <w:rPr/>
        <w:t xml:space="preserve">подготовка и представление руководству Министерства акта об антимонопольном комплаенсе (внесении изменений в антимонопольный комплаенс), а также внутриведомственных документов Министерства, регламентирующих процедуры антимонопольного комплаенса; </w:t>
      </w:r>
    </w:p>
    <w:p>
      <w:pPr>
        <w:pStyle w:val="Normal"/>
        <w:bidi w:val="0"/>
        <w:ind w:firstLine="708" w:start="0" w:end="493"/>
        <w:jc w:val="start"/>
        <w:rPr/>
      </w:pPr>
      <w:r>
        <w:rPr/>
        <w:t xml:space="preserve">выявление рисков нарушения антимонопольного законодательства, учет обстоятельств, связанных с рисками нарушения антимонопольного законодательства, определение вероятности возникновения рисков нарушения антимонопольного законодательства; </w:t>
      </w:r>
    </w:p>
    <w:p>
      <w:pPr>
        <w:pStyle w:val="Normal"/>
        <w:bidi w:val="0"/>
        <w:ind w:firstLine="708" w:start="0" w:end="493"/>
        <w:jc w:val="start"/>
        <w:rPr/>
      </w:pPr>
      <w:r>
        <w:rPr/>
        <w:t>выявление конфликта интересов в деятельности служащих и структурных подразделений Министерства, разработка предложений по их исключению;</w:t>
      </w:r>
    </w:p>
    <w:p>
      <w:pPr>
        <w:pStyle w:val="Normal"/>
        <w:bidi w:val="0"/>
        <w:ind w:firstLine="708" w:start="0" w:end="493"/>
        <w:jc w:val="start"/>
        <w:rPr/>
      </w:pPr>
      <w:r>
        <w:rPr/>
        <w:t xml:space="preserve"> </w:t>
      </w:r>
      <w:r>
        <w:rPr/>
        <w:t xml:space="preserve">консультирование государственных служащих Министерства по вопросам, связанным с соблюдением антимонопольного законодательства и антимонопольным комплаенсом; </w:t>
      </w:r>
    </w:p>
    <w:p>
      <w:pPr>
        <w:pStyle w:val="Normal"/>
        <w:bidi w:val="0"/>
        <w:ind w:firstLine="708" w:start="0" w:end="493"/>
        <w:jc w:val="start"/>
        <w:rPr/>
      </w:pPr>
      <w:r>
        <w:rPr/>
        <w:t>информирование руководства Министерства о внутриведомственных документах, которые могут повлечь нарушение антимонопольного законодательства.</w:t>
      </w:r>
      <w:r>
        <w:rPr>
          <w:b/>
        </w:rPr>
        <w:t xml:space="preserve"> </w:t>
      </w:r>
    </w:p>
    <w:p>
      <w:pPr>
        <w:pStyle w:val="Normal"/>
        <w:bidi w:val="0"/>
        <w:spacing w:lineRule="auto" w:line="240" w:before="0" w:after="61"/>
        <w:ind w:hanging="0" w:start="0" w:end="0"/>
        <w:jc w:val="center"/>
        <w:rPr>
          <w:b/>
        </w:rPr>
      </w:pPr>
      <w:r>
        <w:rPr>
          <w:b/>
        </w:rPr>
        <w:t xml:space="preserve"> </w:t>
      </w:r>
    </w:p>
    <w:p>
      <w:pPr>
        <w:pStyle w:val="Normal"/>
        <w:numPr>
          <w:ilvl w:val="0"/>
          <w:numId w:val="3"/>
        </w:numPr>
        <w:bidi w:val="0"/>
        <w:spacing w:before="0" w:after="54"/>
        <w:ind w:hanging="425" w:start="2552" w:end="1630"/>
        <w:jc w:val="center"/>
        <w:rPr>
          <w:b/>
        </w:rPr>
      </w:pPr>
      <w:r>
        <w:rPr>
          <w:b/>
        </w:rPr>
        <w:t xml:space="preserve">Выявление и оценка рисков  нарушения антимонопольного законодательства </w:t>
      </w:r>
    </w:p>
    <w:p>
      <w:pPr>
        <w:pStyle w:val="Normal"/>
        <w:bidi w:val="0"/>
        <w:spacing w:lineRule="auto" w:line="240" w:before="0" w:after="54"/>
        <w:ind w:hanging="0" w:start="0" w:end="0"/>
        <w:jc w:val="start"/>
        <w:rPr/>
      </w:pPr>
      <w:r>
        <w:rPr/>
        <w:t xml:space="preserve">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В целях выявления рисков нарушения антимонопольного законодательства уполномоченным подразделением на регулярной основе проводятся:  </w:t>
      </w:r>
    </w:p>
    <w:p>
      <w:pPr>
        <w:pStyle w:val="Normal"/>
        <w:bidi w:val="0"/>
        <w:ind w:firstLine="708" w:start="0" w:end="493"/>
        <w:jc w:val="start"/>
        <w:rPr/>
      </w:pPr>
      <w:r>
        <w:rPr/>
        <w:t xml:space="preserve">анализ выявленных нарушений антимонопольного законодательства в деятельности Министерства за предыдущие 3 года (наличие предостережений, жалоб, возбужденных дел);  </w:t>
      </w:r>
    </w:p>
    <w:p>
      <w:pPr>
        <w:pStyle w:val="Normal"/>
        <w:bidi w:val="0"/>
        <w:ind w:firstLine="708" w:start="0" w:end="493"/>
        <w:jc w:val="start"/>
        <w:rPr/>
      </w:pPr>
      <w:r>
        <w:rPr/>
        <w:t xml:space="preserve">анализ нормативных правовых актов Министерства;  анализ проектов нормативных правовых актов Министерства;  </w:t>
      </w:r>
    </w:p>
    <w:p>
      <w:pPr>
        <w:pStyle w:val="Normal"/>
        <w:bidi w:val="0"/>
        <w:ind w:firstLine="708" w:start="0" w:end="493"/>
        <w:jc w:val="start"/>
        <w:rPr/>
      </w:pPr>
      <w:r>
        <w:rPr/>
        <w:t xml:space="preserve">мониторинг и анализ практики применения Министерства антимонопольного законодательства.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При проведении уполномоченным подразделением анализа выявленных нарушений антимонопольного законодательства реализуются следующие мероприятия:  </w:t>
      </w:r>
    </w:p>
    <w:p>
      <w:pPr>
        <w:pStyle w:val="Normal"/>
        <w:bidi w:val="0"/>
        <w:ind w:firstLine="709" w:start="0" w:end="493"/>
        <w:jc w:val="start"/>
        <w:rPr/>
      </w:pPr>
      <w:r>
        <w:rPr/>
        <w:t xml:space="preserve">осуществление сбора в Министерстве сведений о наличии нарушений антимонопольного законодательства;  </w:t>
      </w:r>
    </w:p>
    <w:p>
      <w:pPr>
        <w:pStyle w:val="Normal"/>
        <w:bidi w:val="0"/>
        <w:ind w:firstLine="708" w:start="0" w:end="493"/>
        <w:jc w:val="start"/>
        <w:rPr/>
      </w:pPr>
      <w:r>
        <w:rPr/>
        <w:t xml:space="preserve">составление перечня нарушений антимонопольного законодательства в Министерстве, который содержит классифицированные по сферам деятельности Министерства сведения о выявленных нарушениях антимонопольного законодательства (отдельно по каждому нарушению) и информацию о нарушении (указание нарушенной нормы антимонопольного законодательства, краткое изложение сути нарушения, указание последствий нарушения антимонопольного законодательства и результата рассмотрения нарушения антимонопольным органом), позицию антимонопольного органа, сведения о мерах по устранению нарушения, а также о мерах, направленных Министерством на недопущение повторения нарушения.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При проведении уполномоченным подразделением анализа нормативных правовых актов Министерства реализуются следующие мероприятия:  </w:t>
      </w:r>
    </w:p>
    <w:p>
      <w:pPr>
        <w:pStyle w:val="Normal"/>
        <w:bidi w:val="0"/>
        <w:ind w:firstLine="851" w:start="0" w:end="493"/>
        <w:jc w:val="start"/>
        <w:rPr/>
      </w:pPr>
      <w:r>
        <w:rPr/>
        <w:t xml:space="preserve">разработка и размещение на официальном сайте Министерства в информационно-телекоммуникационной сети «Интернет» (далее - официальный сайт Министерства) исчерпывающего перечня нормативных правовых актов (далее - перечень актов); </w:t>
      </w:r>
    </w:p>
    <w:p>
      <w:pPr>
        <w:pStyle w:val="Normal"/>
        <w:bidi w:val="0"/>
        <w:ind w:firstLine="851" w:start="0" w:end="493"/>
        <w:jc w:val="start"/>
        <w:rPr/>
      </w:pPr>
      <w:r>
        <w:rPr/>
        <w:t xml:space="preserve"> </w:t>
      </w:r>
      <w:r>
        <w:rPr/>
        <w:t>размещение на официальном сайте Министерства уведомления о начале сбора замечаний и предложений организаций и граждан по перечню актов;</w:t>
      </w:r>
    </w:p>
    <w:p>
      <w:pPr>
        <w:pStyle w:val="Normal"/>
        <w:bidi w:val="0"/>
        <w:ind w:firstLine="851" w:start="0" w:end="493"/>
        <w:jc w:val="start"/>
        <w:rPr/>
      </w:pPr>
      <w:r>
        <w:rPr/>
        <w:t xml:space="preserve">осуществление сбора и проведение анализа представленных замечаний и предложений организаций и граждан по перечню актов; </w:t>
      </w:r>
    </w:p>
    <w:p>
      <w:pPr>
        <w:pStyle w:val="Normal"/>
        <w:bidi w:val="0"/>
        <w:ind w:firstLine="851" w:start="0" w:end="493"/>
        <w:jc w:val="start"/>
        <w:rPr/>
      </w:pPr>
      <w:r>
        <w:rPr/>
        <w:t xml:space="preserve">представление руководству Министерства сводного доклада с обоснованием целесообразности (нецелесообразности) внесения изменений в нормативные правовые акты Министерства. </w:t>
      </w:r>
    </w:p>
    <w:p>
      <w:pPr>
        <w:pStyle w:val="Normal"/>
        <w:numPr>
          <w:ilvl w:val="1"/>
          <w:numId w:val="3"/>
        </w:numPr>
        <w:bidi w:val="0"/>
        <w:spacing w:lineRule="auto" w:line="238" w:before="0" w:after="54"/>
        <w:ind w:firstLine="709" w:start="0" w:end="493"/>
        <w:jc w:val="start"/>
        <w:rPr/>
      </w:pPr>
      <w:r>
        <w:rPr/>
        <w:t xml:space="preserve">При проведении анализа проектов нормативных правовых актов структурным подразделениям должны реализовываться следующие мероприятия: </w:t>
      </w:r>
    </w:p>
    <w:p>
      <w:pPr>
        <w:pStyle w:val="Normal"/>
        <w:bidi w:val="0"/>
        <w:spacing w:lineRule="auto" w:line="238" w:before="0" w:after="54"/>
        <w:ind w:firstLine="851" w:start="0" w:end="493"/>
        <w:jc w:val="start"/>
        <w:rPr/>
      </w:pPr>
      <w:r>
        <w:rPr/>
        <w:t xml:space="preserve">размещение на официальном сайте Министерства в разделе «Проекты нормативных правовых актов Министерства» проекта нормативного правового акта с необходимым обоснованием реализации предлагаемых в нем решений, в том числе их влияния на конкуренцию; </w:t>
      </w:r>
    </w:p>
    <w:p>
      <w:pPr>
        <w:pStyle w:val="Normal"/>
        <w:bidi w:val="0"/>
        <w:spacing w:lineRule="auto" w:line="238" w:before="0" w:after="54"/>
        <w:ind w:firstLine="851" w:start="0" w:end="493"/>
        <w:jc w:val="start"/>
        <w:rPr/>
      </w:pPr>
      <w:r>
        <w:rPr/>
        <w:t xml:space="preserve">осуществление сбора и проведение оценки поступивших от организаций и граждан замечаний и предложений по проекту нормативного правового акта.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При проведении мониторинга и анализа практики применения антимонопольного законодательства в Министерстве уполномоченным подразделением должны реализовываться следующие мероприятия:  </w:t>
      </w:r>
    </w:p>
    <w:p>
      <w:pPr>
        <w:pStyle w:val="Normal"/>
        <w:bidi w:val="0"/>
        <w:ind w:firstLine="851" w:start="0" w:end="493"/>
        <w:jc w:val="start"/>
        <w:rPr/>
      </w:pPr>
      <w:r>
        <w:rPr/>
        <w:t xml:space="preserve">осуществление на постоянной основе сбора сведений о правоприменительной практике в Министерстве;  </w:t>
      </w:r>
    </w:p>
    <w:p>
      <w:pPr>
        <w:pStyle w:val="Normal"/>
        <w:bidi w:val="0"/>
        <w:ind w:firstLine="851" w:start="0" w:end="493"/>
        <w:jc w:val="start"/>
        <w:rPr/>
      </w:pPr>
      <w:r>
        <w:rPr/>
        <w:t xml:space="preserve">подготовка по итогам сбора сведений, предусмотренного абзацем вторым настоящего пункта, аналитической справки об изменениях и основных аспектах правоприменительной практики в Министерстве, а также о проблемах правоприменения; </w:t>
      </w:r>
    </w:p>
    <w:p>
      <w:pPr>
        <w:pStyle w:val="Normal"/>
        <w:bidi w:val="0"/>
        <w:ind w:firstLine="851" w:start="0" w:end="493"/>
        <w:jc w:val="start"/>
        <w:rPr/>
      </w:pPr>
      <w:r>
        <w:rPr/>
        <w:t xml:space="preserve"> </w:t>
      </w:r>
      <w:r>
        <w:rPr/>
        <w:t xml:space="preserve">проведение (не реже одного раза в год) рабочих совещаний с приглашением представителей антимонопольного органа по обсуждению результатов правоприменительной практики в Министерстве.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При выявлении рисков нарушения антимонопольного законодательства уполномоченным подразделением Министерства должна проводиться оценка таких рисков с учетом следующих показателей: </w:t>
      </w:r>
    </w:p>
    <w:p>
      <w:pPr>
        <w:pStyle w:val="Normal"/>
        <w:bidi w:val="0"/>
        <w:spacing w:lineRule="auto" w:line="276" w:before="0" w:after="14"/>
        <w:ind w:hanging="0" w:start="0" w:end="0"/>
        <w:jc w:val="start"/>
        <w:rPr/>
      </w:pPr>
      <w:r>
        <w:rPr/>
        <w:t xml:space="preserve"> </w:t>
      </w:r>
      <w:r>
        <w:rPr/>
        <w:tab/>
        <w:t xml:space="preserve"> </w:t>
      </w:r>
    </w:p>
    <w:tbl>
      <w:tblPr>
        <w:tblW w:w="10353" w:type="dxa"/>
        <w:jc w:val="start"/>
        <w:tblInd w:w="-213" w:type="dxa"/>
        <w:tblLayout w:type="fixed"/>
        <w:tblCellMar>
          <w:top w:w="67" w:type="dxa"/>
          <w:start w:w="151" w:type="dxa"/>
          <w:bottom w:w="0" w:type="dxa"/>
          <w:end w:w="76" w:type="dxa"/>
        </w:tblCellMar>
      </w:tblPr>
      <w:tblGrid>
        <w:gridCol w:w="2301"/>
        <w:gridCol w:w="8052"/>
      </w:tblGrid>
      <w:tr>
        <w:trPr>
          <w:trHeight w:val="338" w:hRule="atLeast"/>
        </w:trPr>
        <w:tc>
          <w:tcPr>
            <w:tcW w:w="230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0"/>
              <w:ind w:hanging="0" w:start="0" w:end="0"/>
              <w:jc w:val="center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Уровень риска </w:t>
            </w:r>
          </w:p>
        </w:tc>
        <w:tc>
          <w:tcPr>
            <w:tcW w:w="8052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0"/>
              <w:ind w:hanging="0" w:start="0" w:end="0"/>
              <w:jc w:val="start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Описание риска </w:t>
            </w:r>
          </w:p>
        </w:tc>
      </w:tr>
      <w:tr>
        <w:trPr>
          <w:trHeight w:val="1624" w:hRule="atLeast"/>
        </w:trPr>
        <w:tc>
          <w:tcPr>
            <w:tcW w:w="230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0"/>
              <w:ind w:hanging="0" w:start="0" w:end="0"/>
              <w:jc w:val="center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Низкий </w:t>
            </w:r>
          </w:p>
        </w:tc>
        <w:tc>
          <w:tcPr>
            <w:tcW w:w="8052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0"/>
              <w:ind w:hanging="0" w:start="0" w:end="148"/>
              <w:jc w:val="start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Отрицательное влияние на отношение институтов гражданского общества к деятельности Министерства. Вероятность выдачи Министерству предупреждения, возбуждения в отношении него дела о нарушении антимонопольного законодательства, наложения на него штрафа отсутствует </w:t>
            </w:r>
          </w:p>
        </w:tc>
      </w:tr>
      <w:tr>
        <w:trPr>
          <w:trHeight w:val="657" w:hRule="atLeast"/>
        </w:trPr>
        <w:tc>
          <w:tcPr>
            <w:tcW w:w="230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0"/>
              <w:ind w:hanging="0" w:start="0" w:end="0"/>
              <w:jc w:val="start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Незначительный </w:t>
            </w:r>
          </w:p>
        </w:tc>
        <w:tc>
          <w:tcPr>
            <w:tcW w:w="8052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"/>
              <w:widowControl/>
              <w:bidi w:val="0"/>
              <w:spacing w:lineRule="auto" w:line="240" w:before="0" w:after="54"/>
              <w:ind w:hanging="0" w:start="0" w:end="0"/>
              <w:jc w:val="start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Вероятность </w:t>
              <w:tab/>
              <w:t xml:space="preserve">выдачи </w:t>
              <w:tab/>
              <w:t xml:space="preserve">Министерству </w:t>
              <w:tab/>
              <w:t xml:space="preserve">предупреждения </w:t>
            </w:r>
          </w:p>
          <w:p>
            <w:pPr>
              <w:pStyle w:val="Normal"/>
              <w:widowControl/>
              <w:bidi w:val="0"/>
              <w:spacing w:lineRule="auto" w:line="276" w:before="0" w:after="0"/>
              <w:ind w:hanging="0" w:start="0" w:end="0"/>
              <w:jc w:val="start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 </w:t>
            </w:r>
          </w:p>
        </w:tc>
      </w:tr>
      <w:tr>
        <w:trPr>
          <w:trHeight w:val="982" w:hRule="atLeast"/>
        </w:trPr>
        <w:tc>
          <w:tcPr>
            <w:tcW w:w="230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0"/>
              <w:ind w:hanging="0" w:start="0" w:end="0"/>
              <w:jc w:val="start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Существенный </w:t>
            </w:r>
          </w:p>
        </w:tc>
        <w:tc>
          <w:tcPr>
            <w:tcW w:w="8052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"/>
              <w:widowControl/>
              <w:bidi w:val="0"/>
              <w:spacing w:lineRule="auto" w:line="235" w:before="0" w:after="54"/>
              <w:ind w:hanging="0" w:start="0" w:end="0"/>
              <w:jc w:val="start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Вероятность выдачи Министерству предупреждения и возбуждения в отношении него дела о нарушении </w:t>
            </w:r>
          </w:p>
          <w:p>
            <w:pPr>
              <w:pStyle w:val="Normal"/>
              <w:widowControl/>
              <w:bidi w:val="0"/>
              <w:spacing w:lineRule="auto" w:line="276" w:before="0" w:after="0"/>
              <w:ind w:hanging="0" w:start="0" w:end="0"/>
              <w:jc w:val="start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антимонопольного законодательства </w:t>
            </w:r>
          </w:p>
        </w:tc>
      </w:tr>
      <w:tr>
        <w:trPr>
          <w:trHeight w:val="1302" w:hRule="atLeast"/>
        </w:trPr>
        <w:tc>
          <w:tcPr>
            <w:tcW w:w="2301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0"/>
              <w:ind w:hanging="0" w:start="0" w:end="0"/>
              <w:jc w:val="center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Высокий </w:t>
            </w:r>
          </w:p>
        </w:tc>
        <w:tc>
          <w:tcPr>
            <w:tcW w:w="8052" w:type="dxa"/>
            <w:tcBorders>
              <w:top w:val="single" w:sz="6" w:space="0" w:color="000000"/>
              <w:start w:val="single" w:sz="6" w:space="0" w:color="000000"/>
              <w:bottom w:val="single" w:sz="6" w:space="0" w:color="000000"/>
              <w:end w:val="single" w:sz="6" w:space="0" w:color="000000"/>
            </w:tcBorders>
          </w:tcPr>
          <w:p>
            <w:pPr>
              <w:pStyle w:val="Normal"/>
              <w:widowControl/>
              <w:bidi w:val="0"/>
              <w:spacing w:lineRule="auto" w:line="276" w:before="0" w:after="0"/>
              <w:ind w:hanging="0" w:start="0" w:end="5"/>
              <w:jc w:val="start"/>
              <w:rPr>
                <w:kern w:val="0"/>
                <w:szCs w:val="22"/>
                <w:lang w:val="ru-RU" w:eastAsia="ru-RU" w:bidi="ar-SA"/>
              </w:rPr>
            </w:pPr>
            <w:r>
              <w:rPr>
                <w:kern w:val="0"/>
                <w:szCs w:val="22"/>
                <w:lang w:val="ru-RU" w:eastAsia="ru-RU" w:bidi="ar-SA"/>
              </w:rPr>
              <w:t xml:space="preserve">Вероятность выдачи Министерству предупреждения, возбуждения в отношении него дела о нарушении антимонопольного законодательства и привлечения его к административной ответственности (штраф, дисквалификация) </w:t>
            </w:r>
          </w:p>
        </w:tc>
      </w:tr>
    </w:tbl>
    <w:p>
      <w:pPr>
        <w:pStyle w:val="Normal"/>
        <w:bidi w:val="0"/>
        <w:spacing w:lineRule="auto" w:line="240" w:before="0" w:after="54"/>
        <w:ind w:hanging="0" w:start="0" w:end="0"/>
        <w:jc w:val="start"/>
        <w:rPr/>
      </w:pPr>
      <w:r>
        <w:rPr/>
        <w:t xml:space="preserve">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По результатам проведенной оценки рисков нарушения антимонопольного законодательства уполномоченным подразделением Министерства составляется описание указанных рисков, в которые также включается оценка причин и условий их возникновения.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Карты рисков составляются не реже одного раза в год, утверждаются министром цифрового развития Республики Тыва, при его отсутствии заместителем министра цифрового развития Республики Тыва и размещаются Министерством на официальном сайте Министерства.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>Информация о проведенных мероприятиях по выявлению и оценке рисков нарушения антимонопольного законодательства включается в доклад об антимонопольном комплаенсе.</w:t>
      </w:r>
      <w:r>
        <w:rPr>
          <w:b/>
        </w:rPr>
        <w:t xml:space="preserve"> </w:t>
      </w:r>
    </w:p>
    <w:p>
      <w:pPr>
        <w:pStyle w:val="Normal"/>
        <w:bidi w:val="0"/>
        <w:spacing w:lineRule="auto" w:line="240" w:before="0" w:after="59"/>
        <w:ind w:hanging="0" w:start="0" w:end="0"/>
        <w:jc w:val="center"/>
        <w:rPr>
          <w:b/>
        </w:rPr>
      </w:pPr>
      <w:r>
        <w:rPr>
          <w:b/>
        </w:rPr>
        <w:t xml:space="preserve"> </w:t>
      </w:r>
    </w:p>
    <w:p>
      <w:pPr>
        <w:pStyle w:val="Normal"/>
        <w:numPr>
          <w:ilvl w:val="0"/>
          <w:numId w:val="3"/>
        </w:numPr>
        <w:bidi w:val="0"/>
        <w:spacing w:before="0" w:after="55"/>
        <w:ind w:hanging="0" w:start="1134" w:end="1346"/>
        <w:jc w:val="center"/>
        <w:rPr/>
      </w:pPr>
      <w:r>
        <w:rPr>
          <w:b/>
        </w:rPr>
        <w:t>Мероприятия по снижению рисков нарушения антимонопольного законодательства</w:t>
      </w:r>
      <w:r>
        <w:rPr/>
        <w:t xml:space="preserve"> </w:t>
      </w:r>
    </w:p>
    <w:p>
      <w:pPr>
        <w:pStyle w:val="Normal"/>
        <w:bidi w:val="0"/>
        <w:spacing w:lineRule="auto" w:line="240" w:before="0" w:after="54"/>
        <w:ind w:hanging="0" w:start="0" w:end="0"/>
        <w:jc w:val="center"/>
        <w:rPr/>
      </w:pPr>
      <w:r>
        <w:rPr/>
        <w:t xml:space="preserve">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В целях снижения рисков нарушения антимонопольного законодательства уполномоченным подразделением Министерства должны разрабатываться (не реже одного раза в год) мероприятия по снижению рисков нарушения антимонопольного законодательства. </w:t>
      </w:r>
    </w:p>
    <w:p>
      <w:pPr>
        <w:pStyle w:val="Normal"/>
        <w:numPr>
          <w:ilvl w:val="1"/>
          <w:numId w:val="3"/>
        </w:numPr>
        <w:bidi w:val="0"/>
        <w:spacing w:before="0" w:after="0"/>
        <w:ind w:firstLine="709" w:start="0" w:end="493"/>
        <w:jc w:val="start"/>
        <w:rPr/>
      </w:pPr>
      <w:r>
        <w:rPr/>
        <w:t xml:space="preserve">Уполномоченное подразделение Министерства осуществляет мониторинг исполнения мероприятий по снижению рисков нарушения антимонопольного законодательства.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>Информация об исполнении мероприятий по снижению рисков нарушения антимонопольного законодательства должна включаться в доклад об антимонопольном комплаенсе.</w:t>
      </w:r>
      <w:r>
        <w:rPr>
          <w:b/>
        </w:rPr>
        <w:t xml:space="preserve"> </w:t>
      </w:r>
    </w:p>
    <w:p>
      <w:pPr>
        <w:pStyle w:val="Normal"/>
        <w:bidi w:val="0"/>
        <w:spacing w:lineRule="auto" w:line="240" w:before="0" w:after="59"/>
        <w:ind w:hanging="0" w:start="0" w:end="0"/>
        <w:jc w:val="center"/>
        <w:rPr>
          <w:b/>
        </w:rPr>
      </w:pPr>
      <w:r>
        <w:rPr>
          <w:b/>
        </w:rPr>
        <w:t xml:space="preserve"> </w:t>
      </w:r>
    </w:p>
    <w:p>
      <w:pPr>
        <w:pStyle w:val="Normal"/>
        <w:numPr>
          <w:ilvl w:val="0"/>
          <w:numId w:val="3"/>
        </w:numPr>
        <w:bidi w:val="0"/>
        <w:spacing w:before="0" w:after="54"/>
        <w:ind w:hanging="0" w:start="1560" w:end="1488"/>
        <w:jc w:val="center"/>
        <w:rPr/>
      </w:pPr>
      <w:r>
        <w:rPr>
          <w:b/>
        </w:rPr>
        <w:t>Оценка эффективности функционирования  в управлении экономики антимонопольного комплаенса</w:t>
      </w:r>
      <w:r>
        <w:rPr/>
        <w:t xml:space="preserve"> </w:t>
      </w:r>
    </w:p>
    <w:p>
      <w:pPr>
        <w:pStyle w:val="Normal"/>
        <w:bidi w:val="0"/>
        <w:spacing w:lineRule="auto" w:line="240" w:before="0" w:after="57"/>
        <w:ind w:hanging="0" w:start="0" w:end="0"/>
        <w:jc w:val="start"/>
        <w:rPr/>
      </w:pPr>
      <w:r>
        <w:rPr/>
        <w:t xml:space="preserve">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В целях оценки эффективности функционирования в Министерстве антимонопольного комплаенса устанавливаются ключевые показатели как для уполномоченного подразделения, так и для Министерства в целом.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Ключевые показатели эффективности функционирования в Министерстве антимонопольного комплаенса разрабатываются в соответствии с методикой расчета ключевых показателей эффективности, разработанной антимонопольным органом.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Уполномоченное подразделение проводит (не реже одного раза в год) оценку достижения ключевых показателей эффективности антимонопольного комплаенса в Министерстве.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 xml:space="preserve">Информация о достижении ключевых показателей эффективности функционирования в Министерстве антимонопольного комплаенса должна включаться в доклад об антимонопольном комплаенсе. </w:t>
      </w:r>
    </w:p>
    <w:p>
      <w:pPr>
        <w:pStyle w:val="Normal"/>
        <w:bidi w:val="0"/>
        <w:spacing w:lineRule="auto" w:line="240" w:before="0" w:after="59"/>
        <w:ind w:hanging="0" w:start="0" w:end="0"/>
        <w:jc w:val="center"/>
        <w:rPr>
          <w:b/>
        </w:rPr>
      </w:pPr>
      <w:r>
        <w:rPr>
          <w:b/>
        </w:rPr>
        <w:t xml:space="preserve"> </w:t>
      </w:r>
    </w:p>
    <w:p>
      <w:pPr>
        <w:pStyle w:val="Normal"/>
        <w:numPr>
          <w:ilvl w:val="0"/>
          <w:numId w:val="3"/>
        </w:numPr>
        <w:bidi w:val="0"/>
        <w:spacing w:before="0" w:after="55"/>
        <w:ind w:firstLine="1418" w:start="0" w:end="1698"/>
        <w:jc w:val="center"/>
        <w:rPr/>
      </w:pPr>
      <w:r>
        <w:rPr>
          <w:b/>
        </w:rPr>
        <w:t>Доклад об антимонопольном комплаенсе</w:t>
      </w:r>
      <w:r>
        <w:rPr/>
        <w:t xml:space="preserve"> </w:t>
      </w:r>
    </w:p>
    <w:p>
      <w:pPr>
        <w:pStyle w:val="Normal"/>
        <w:bidi w:val="0"/>
        <w:spacing w:lineRule="auto" w:line="240" w:before="0" w:after="55"/>
        <w:ind w:hanging="0" w:start="0" w:end="0"/>
        <w:jc w:val="start"/>
        <w:rPr/>
      </w:pPr>
      <w:r>
        <w:rPr/>
        <w:t xml:space="preserve"> </w:t>
      </w:r>
    </w:p>
    <w:p>
      <w:pPr>
        <w:pStyle w:val="Normal"/>
        <w:numPr>
          <w:ilvl w:val="1"/>
          <w:numId w:val="3"/>
        </w:numPr>
        <w:bidi w:val="0"/>
        <w:spacing w:lineRule="auto" w:line="238" w:before="0" w:after="54"/>
        <w:ind w:firstLine="709" w:start="0" w:end="493"/>
        <w:jc w:val="start"/>
        <w:rPr/>
      </w:pPr>
      <w:r>
        <w:rPr/>
        <w:t xml:space="preserve">Доклад об антимонопольном комплаенсе должен содержать информацию: </w:t>
      </w:r>
    </w:p>
    <w:p>
      <w:pPr>
        <w:pStyle w:val="Normal"/>
        <w:bidi w:val="0"/>
        <w:spacing w:lineRule="auto" w:line="238" w:before="0" w:after="54"/>
        <w:ind w:firstLine="709" w:start="0" w:end="493"/>
        <w:jc w:val="start"/>
        <w:rPr/>
      </w:pPr>
      <w:r>
        <w:rPr/>
        <w:t xml:space="preserve">о результатах </w:t>
        <w:tab/>
        <w:t xml:space="preserve">проведенной оценки рисков нарушения </w:t>
        <w:tab/>
        <w:t xml:space="preserve">Министерства антимонопольного законодательства; </w:t>
      </w:r>
    </w:p>
    <w:p>
      <w:pPr>
        <w:pStyle w:val="Normal"/>
        <w:bidi w:val="0"/>
        <w:spacing w:lineRule="auto" w:line="238" w:before="0" w:after="54"/>
        <w:ind w:firstLine="709" w:start="0" w:end="493"/>
        <w:jc w:val="start"/>
        <w:rPr/>
      </w:pPr>
      <w:r>
        <w:rPr/>
        <w:t xml:space="preserve">об исполнении мероприятий по снижению рисков нарушения Министерства антимонопольного законодательства; </w:t>
      </w:r>
    </w:p>
    <w:p>
      <w:pPr>
        <w:pStyle w:val="Normal"/>
        <w:bidi w:val="0"/>
        <w:spacing w:lineRule="auto" w:line="238" w:before="0" w:after="54"/>
        <w:ind w:firstLine="709" w:start="0" w:end="493"/>
        <w:jc w:val="start"/>
        <w:rPr/>
      </w:pPr>
      <w:r>
        <w:rPr/>
        <w:t>о достижении ключевых показателей эффективности антимонопольного законодательства в Министерстве.</w:t>
      </w:r>
      <w:r>
        <w:rPr>
          <w:b/>
        </w:rPr>
        <w:t xml:space="preserve"> </w:t>
      </w:r>
    </w:p>
    <w:p>
      <w:pPr>
        <w:pStyle w:val="Normal"/>
        <w:numPr>
          <w:ilvl w:val="1"/>
          <w:numId w:val="3"/>
        </w:numPr>
        <w:bidi w:val="0"/>
        <w:ind w:firstLine="709" w:start="0" w:end="493"/>
        <w:jc w:val="start"/>
        <w:rPr/>
      </w:pPr>
      <w:r>
        <w:rPr/>
        <w:t>Доклад об антимонопольном комплаенсе составляется и представляется уполномоченным подразделением (не реже одного раза в год) на утверждение в коллегиальный орган.</w:t>
      </w:r>
      <w:r>
        <w:rPr>
          <w:b/>
        </w:rPr>
        <w:t xml:space="preserve"> </w:t>
      </w:r>
    </w:p>
    <w:p>
      <w:pPr>
        <w:sectPr>
          <w:headerReference w:type="even" r:id="rId5"/>
          <w:headerReference w:type="default" r:id="rId6"/>
          <w:footerReference w:type="even" r:id="rId7"/>
          <w:footerReference w:type="default" r:id="rId8"/>
          <w:type w:val="nextPage"/>
          <w:pgSz w:w="11906" w:h="16838"/>
          <w:pgMar w:left="1440" w:right="1440" w:gutter="0" w:header="720" w:top="1440" w:footer="720" w:bottom="1440"/>
          <w:pgNumType w:fmt="decimal"/>
          <w:formProt w:val="false"/>
          <w:textDirection w:val="lrTb"/>
          <w:docGrid w:type="default" w:linePitch="100" w:charSpace="4294938623"/>
        </w:sectPr>
        <w:pStyle w:val="Normal"/>
        <w:numPr>
          <w:ilvl w:val="1"/>
          <w:numId w:val="3"/>
        </w:numPr>
        <w:bidi w:val="0"/>
        <w:spacing w:before="0" w:after="0"/>
        <w:ind w:firstLine="709" w:start="0" w:end="493"/>
        <w:jc w:val="start"/>
        <w:rPr/>
      </w:pPr>
      <w:bookmarkStart w:id="2" w:name="_GoBack"/>
      <w:r>
        <w:rPr/>
        <w:t xml:space="preserve">Доклад об антимонопольном комплаенсе, утвержденный коллегиальным органом, размещается на официальном сайте Министерства и направляется Министерством в Управление Федеральной антимонопольной службы по Республике Тыва в порядке и сроки, установленные законодательством.  </w:t>
      </w:r>
      <w:bookmarkEnd w:id="2"/>
    </w:p>
    <w:p>
      <w:pPr>
        <w:pStyle w:val="Normal"/>
        <w:bidi w:val="0"/>
        <w:spacing w:lineRule="auto" w:line="276" w:before="0" w:after="0"/>
        <w:ind w:hanging="0" w:start="0" w:end="0"/>
        <w:jc w:val="start"/>
        <w:rPr/>
      </w:pPr>
      <w:r>
        <w:rPr/>
        <w:drawing>
          <wp:anchor behindDoc="0" distT="0" distB="0" distL="114300" distR="114300" simplePos="0" locked="0" layoutInCell="0" allowOverlap="0" relativeHeight="5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0686415"/>
            <wp:effectExtent l="0" t="0" r="0" b="0"/>
            <wp:wrapTopAndBottom/>
            <wp:docPr id="4" name="Picture 744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44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 w:before="0" w:after="0"/>
        <w:ind w:hanging="0" w:start="0" w:end="0"/>
        <w:jc w:val="start"/>
        <w:rPr/>
      </w:pPr>
      <w:r>
        <w:rPr/>
        <w:drawing>
          <wp:anchor behindDoc="0" distT="0" distB="0" distL="114300" distR="114300" simplePos="0" locked="0" layoutInCell="0" allowOverlap="0" relativeHeight="6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5865" cy="10686415"/>
            <wp:effectExtent l="0" t="0" r="0" b="0"/>
            <wp:wrapTopAndBottom/>
            <wp:docPr id="5" name="Picture 745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452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 w:before="0" w:after="0"/>
        <w:ind w:hanging="0" w:start="0" w:end="0"/>
        <w:jc w:val="start"/>
        <w:rPr/>
      </w:pPr>
      <w:r>
        <w:rPr/>
        <w:drawing>
          <wp:anchor behindDoc="0" distT="0" distB="0" distL="114300" distR="114300" simplePos="0" locked="0" layoutInCell="0" allowOverlap="0" relativeHeight="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6" name="Picture 4747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7476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w:type="even" r:id="rId12"/>
      <w:headerReference w:type="default" r:id="rId13"/>
      <w:headerReference w:type="first" r:id="rId14"/>
      <w:footerReference w:type="even" r:id="rId15"/>
      <w:footerReference w:type="default" r:id="rId16"/>
      <w:footerReference w:type="first" r:id="rId17"/>
      <w:type w:val="nextPage"/>
      <w:pgSz w:w="11906" w:h="16838"/>
      <w:pgMar w:left="1440" w:right="1440" w:gutter="0" w:header="720" w:top="1440" w:footer="720" w:bottom="1440"/>
      <w:pgNumType w:fmt="decimal"/>
      <w:formProt w:val="false"/>
      <w:textDirection w:val="lrTb"/>
      <w:docGrid w:type="default" w:linePitch="100" w:charSpace="429493862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  <w:font w:name="Calibri">
    <w:charset w:val="cc" w:characterSet="windows-1251"/>
    <w:family w:val="swiss"/>
    <w:pitch w:val="variable"/>
  </w:font>
  <w:font w:name="Arial">
    <w:charset w:val="cc" w:characterSet="windows-1251"/>
    <w:family w:val="swiss"/>
    <w:pitch w:val="variable"/>
  </w:font>
  <w:font w:name="Times New Roman">
    <w:charset w:val="cc" w:characterSet="windows-125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spacing w:lineRule="auto" w:line="276" w:before="0" w:after="0"/>
      <w:ind w:hanging="0" w:start="0" w:end="0"/>
      <w:jc w:val="start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spacing w:lineRule="auto" w:line="276" w:before="0" w:after="0"/>
      <w:ind w:hanging="0" w:start="0" w:end="0"/>
      <w:jc w:val="start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spacing w:lineRule="auto" w:line="276" w:before="0" w:after="0"/>
      <w:ind w:hanging="0" w:start="0" w:end="0"/>
      <w:jc w:val="start"/>
      <w:rPr/>
    </w:pPr>
    <w:r>
      <w:rPr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spacing w:lineRule="auto" w:line="276" w:before="0" w:after="0"/>
      <w:ind w:hanging="0" w:start="0" w:end="0"/>
      <w:jc w:val="start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spacing w:lineRule="auto" w:line="276" w:before="0" w:after="0"/>
      <w:ind w:hanging="0" w:start="0" w:end="0"/>
      <w:jc w:val="start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spacing w:lineRule="auto" w:line="276" w:before="0" w:after="0"/>
      <w:ind w:hanging="0" w:start="0" w:end="0"/>
      <w:jc w:val="start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spacing w:lineRule="auto" w:line="276" w:before="0" w:after="0"/>
      <w:ind w:hanging="0" w:start="0" w:end="0"/>
      <w:jc w:val="start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spacing w:lineRule="auto" w:line="276" w:before="0" w:after="0"/>
      <w:ind w:hanging="0" w:start="0" w:end="0"/>
      <w:jc w:val="start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69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1">
      <w:start w:val="1"/>
      <w:numFmt w:val="lowerLetter"/>
      <w:lvlText w:val="%2"/>
      <w:lvlJc w:val="start"/>
      <w:pPr>
        <w:tabs>
          <w:tab w:val="num" w:pos="0"/>
        </w:tabs>
        <w:ind w:start="1149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2">
      <w:start w:val="1"/>
      <w:numFmt w:val="lowerRoman"/>
      <w:lvlText w:val="%3"/>
      <w:lvlJc w:val="start"/>
      <w:pPr>
        <w:tabs>
          <w:tab w:val="num" w:pos="0"/>
        </w:tabs>
        <w:ind w:start="1869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3">
      <w:start w:val="1"/>
      <w:numFmt w:val="decimal"/>
      <w:lvlText w:val="%4"/>
      <w:lvlJc w:val="start"/>
      <w:pPr>
        <w:tabs>
          <w:tab w:val="num" w:pos="0"/>
        </w:tabs>
        <w:ind w:start="2589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4">
      <w:start w:val="1"/>
      <w:numFmt w:val="lowerLetter"/>
      <w:lvlText w:val="%5"/>
      <w:lvlJc w:val="start"/>
      <w:pPr>
        <w:tabs>
          <w:tab w:val="num" w:pos="0"/>
        </w:tabs>
        <w:ind w:start="3309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5">
      <w:start w:val="1"/>
      <w:numFmt w:val="lowerRoman"/>
      <w:lvlText w:val="%6"/>
      <w:lvlJc w:val="start"/>
      <w:pPr>
        <w:tabs>
          <w:tab w:val="num" w:pos="0"/>
        </w:tabs>
        <w:ind w:start="4029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6">
      <w:start w:val="1"/>
      <w:numFmt w:val="decimal"/>
      <w:lvlText w:val="%7"/>
      <w:lvlJc w:val="start"/>
      <w:pPr>
        <w:tabs>
          <w:tab w:val="num" w:pos="0"/>
        </w:tabs>
        <w:ind w:start="4749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7">
      <w:start w:val="1"/>
      <w:numFmt w:val="lowerLetter"/>
      <w:lvlText w:val="%8"/>
      <w:lvlJc w:val="start"/>
      <w:pPr>
        <w:tabs>
          <w:tab w:val="num" w:pos="0"/>
        </w:tabs>
        <w:ind w:start="5469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8">
      <w:start w:val="1"/>
      <w:numFmt w:val="lowerRoman"/>
      <w:lvlText w:val="%9"/>
      <w:lvlJc w:val="start"/>
      <w:pPr>
        <w:tabs>
          <w:tab w:val="num" w:pos="0"/>
        </w:tabs>
        <w:ind w:start="6189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</w:abstractNum>
  <w:abstractNum w:abstractNumId="2">
    <w:lvl w:ilvl="0">
      <w:start w:val="1"/>
      <w:numFmt w:val="decimal"/>
      <w:lvlText w:val="%1"/>
      <w:lvlJc w:val="start"/>
      <w:pPr>
        <w:tabs>
          <w:tab w:val="num" w:pos="0"/>
        </w:tabs>
        <w:ind w:start="360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1">
      <w:start w:val="1"/>
      <w:numFmt w:val="decimal"/>
      <w:lvlText w:val="%1.%2."/>
      <w:lvlJc w:val="start"/>
      <w:pPr>
        <w:tabs>
          <w:tab w:val="num" w:pos="0"/>
        </w:tabs>
        <w:ind w:start="77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2">
      <w:start w:val="1"/>
      <w:numFmt w:val="lowerRoman"/>
      <w:lvlText w:val="%3"/>
      <w:lvlJc w:val="start"/>
      <w:pPr>
        <w:tabs>
          <w:tab w:val="num" w:pos="0"/>
        </w:tabs>
        <w:ind w:start="185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3">
      <w:start w:val="1"/>
      <w:numFmt w:val="decimal"/>
      <w:lvlText w:val="%4"/>
      <w:lvlJc w:val="start"/>
      <w:pPr>
        <w:tabs>
          <w:tab w:val="num" w:pos="0"/>
        </w:tabs>
        <w:ind w:start="257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4">
      <w:start w:val="1"/>
      <w:numFmt w:val="lowerLetter"/>
      <w:lvlText w:val="%5"/>
      <w:lvlJc w:val="start"/>
      <w:pPr>
        <w:tabs>
          <w:tab w:val="num" w:pos="0"/>
        </w:tabs>
        <w:ind w:start="329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5">
      <w:start w:val="1"/>
      <w:numFmt w:val="lowerRoman"/>
      <w:lvlText w:val="%6"/>
      <w:lvlJc w:val="start"/>
      <w:pPr>
        <w:tabs>
          <w:tab w:val="num" w:pos="0"/>
        </w:tabs>
        <w:ind w:start="401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6">
      <w:start w:val="1"/>
      <w:numFmt w:val="decimal"/>
      <w:lvlText w:val="%7"/>
      <w:lvlJc w:val="start"/>
      <w:pPr>
        <w:tabs>
          <w:tab w:val="num" w:pos="0"/>
        </w:tabs>
        <w:ind w:start="473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7">
      <w:start w:val="1"/>
      <w:numFmt w:val="lowerLetter"/>
      <w:lvlText w:val="%8"/>
      <w:lvlJc w:val="start"/>
      <w:pPr>
        <w:tabs>
          <w:tab w:val="num" w:pos="0"/>
        </w:tabs>
        <w:ind w:start="545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8">
      <w:start w:val="1"/>
      <w:numFmt w:val="lowerRoman"/>
      <w:lvlText w:val="%9"/>
      <w:lvlJc w:val="start"/>
      <w:pPr>
        <w:tabs>
          <w:tab w:val="num" w:pos="0"/>
        </w:tabs>
        <w:ind w:start="6178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</w:abstractNum>
  <w:abstractNum w:abstractNumId="3">
    <w:lvl w:ilvl="0">
      <w:start w:val="2"/>
      <w:numFmt w:val="decimal"/>
      <w:lvlText w:val="%1."/>
      <w:lvlJc w:val="start"/>
      <w:pPr>
        <w:tabs>
          <w:tab w:val="num" w:pos="0"/>
        </w:tabs>
        <w:ind w:start="2003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/>
        <w:shd w:fill="auto" w:val="clear"/>
        <w:rFonts w:ascii="Times New Roman" w:hAnsi="Times New Roman" w:eastAsia="Times New Roman" w:cs="Times New Roman"/>
        <w:color w:val="000000"/>
      </w:rPr>
    </w:lvl>
    <w:lvl w:ilvl="1">
      <w:start w:val="1"/>
      <w:numFmt w:val="decimal"/>
      <w:lvlText w:val="%1.%2."/>
      <w:lvlJc w:val="start"/>
      <w:pPr>
        <w:tabs>
          <w:tab w:val="num" w:pos="0"/>
        </w:tabs>
        <w:ind w:start="2723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2">
      <w:start w:val="1"/>
      <w:numFmt w:val="lowerRoman"/>
      <w:lvlText w:val="%3"/>
      <w:lvlJc w:val="start"/>
      <w:pPr>
        <w:tabs>
          <w:tab w:val="num" w:pos="0"/>
        </w:tabs>
        <w:ind w:start="3803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3">
      <w:start w:val="1"/>
      <w:numFmt w:val="decimal"/>
      <w:lvlText w:val="%4"/>
      <w:lvlJc w:val="start"/>
      <w:pPr>
        <w:tabs>
          <w:tab w:val="num" w:pos="0"/>
        </w:tabs>
        <w:ind w:start="4523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4">
      <w:start w:val="1"/>
      <w:numFmt w:val="lowerLetter"/>
      <w:lvlText w:val="%5"/>
      <w:lvlJc w:val="start"/>
      <w:pPr>
        <w:tabs>
          <w:tab w:val="num" w:pos="0"/>
        </w:tabs>
        <w:ind w:start="5243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5">
      <w:start w:val="1"/>
      <w:numFmt w:val="lowerRoman"/>
      <w:lvlText w:val="%6"/>
      <w:lvlJc w:val="start"/>
      <w:pPr>
        <w:tabs>
          <w:tab w:val="num" w:pos="0"/>
        </w:tabs>
        <w:ind w:start="5963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6">
      <w:start w:val="1"/>
      <w:numFmt w:val="decimal"/>
      <w:lvlText w:val="%7"/>
      <w:lvlJc w:val="start"/>
      <w:pPr>
        <w:tabs>
          <w:tab w:val="num" w:pos="0"/>
        </w:tabs>
        <w:ind w:start="6683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7">
      <w:start w:val="1"/>
      <w:numFmt w:val="lowerLetter"/>
      <w:lvlText w:val="%8"/>
      <w:lvlJc w:val="start"/>
      <w:pPr>
        <w:tabs>
          <w:tab w:val="num" w:pos="0"/>
        </w:tabs>
        <w:ind w:start="7403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  <w:lvl w:ilvl="8">
      <w:start w:val="1"/>
      <w:numFmt w:val="lowerRoman"/>
      <w:lvlText w:val="%9"/>
      <w:lvlJc w:val="start"/>
      <w:pPr>
        <w:tabs>
          <w:tab w:val="num" w:pos="0"/>
        </w:tabs>
        <w:ind w:start="8123" w:hanging="0"/>
      </w:pPr>
      <w:rPr>
        <w:dstrike w:val="false"/>
        <w:strike w:val="false"/>
        <w:vertAlign w:val="baseline"/>
        <w:position w:val="0"/>
        <w:sz w:val="28"/>
        <w:sz w:val="28"/>
        <w:i w:val="false"/>
        <w:u w:val="none"/>
        <w:b w:val="false"/>
        <w:shd w:fill="auto" w:val="clear"/>
        <w:rFonts w:ascii="Times New Roman" w:hAnsi="Times New Roman" w:eastAsia="Times New Roman" w:cs="Times New Roman"/>
        <w:color w:val="000000"/>
      </w:rPr>
    </w:lvl>
  </w:abstractNum>
  <w:abstractNum w:abstractNumId="4">
    <w:lvl w:ilvl="0">
      <w:start w:val="1"/>
      <w:numFmt w:val="none"/>
      <w:suff w:val="nothing"/>
      <w:lvlText w:val="%1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%2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%3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%4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%5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%6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%7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%8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%9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hyphenationZone w:val="0"/>
  <w:evenAndOddHeaders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character" w:styleId="Hyperlink">
    <w:name w:val="Hyperlink"/>
    <w:rPr>
      <w:color w:val="000080"/>
      <w:u w:val="single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HeaderandFooter"/>
    <w:pPr>
      <w:suppressLineNumbers/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Style16">
    <w:name w:val="Содержимое таблицы"/>
    <w:basedOn w:val="Normal"/>
    <w:qFormat/>
    <w:pPr>
      <w:widowControl w:val="false"/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eader" Target="head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LibreOffice/25.2.2.2$Windows_X86_64 LibreOffice_project/7370d4be9e3cf6031a51beef54ff3bda878e3fac</Application>
  <AppVersion>15.0000</AppVersion>
  <Pages>9</Pages>
  <Words>1270</Words>
  <Characters>10954</Characters>
  <CharactersWithSpaces>12548</CharactersWithSpaces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2025-05-16T16:21:34Z</dcterms:created>
  <dc:creator/>
  <dc:description/>
  <dc:language>ru-RU</dc:language>
  <cp:lastModifiedBy/>
  <dcterms:modified xsi:type="dcterms:W3CDTF">2025-05-16T16:22:10Z</dcterms:modified>
  <cp:revision>1</cp:revision>
  <dc:subject/>
  <dc:title/>
</cp:coreProperties>
</file>