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8C5" w:rsidRDefault="004F7F64">
      <w:pPr>
        <w:pStyle w:val="af6"/>
        <w:shd w:val="clear" w:color="auto" w:fill="FFFFFF"/>
        <w:spacing w:after="280"/>
        <w:jc w:val="center"/>
        <w:rPr>
          <w:rFonts w:ascii="PT Astra Serif" w:hAnsi="PT Astra Serif"/>
          <w:b/>
          <w:color w:val="444444"/>
          <w:sz w:val="28"/>
          <w:szCs w:val="28"/>
        </w:rPr>
      </w:pPr>
      <w:bookmarkStart w:id="0" w:name="_GoBack"/>
      <w:bookmarkEnd w:id="0"/>
      <w:r>
        <w:rPr>
          <w:rFonts w:ascii="PT Astra Serif" w:hAnsi="PT Astra Serif"/>
          <w:b/>
          <w:color w:val="000000"/>
          <w:sz w:val="28"/>
          <w:szCs w:val="28"/>
        </w:rPr>
        <w:t xml:space="preserve">ЦЕЛЕВЫЕ ПОКАЗАТЕЛИ (ИНДИКАТОРЫ) РЕАЛИЗАЦИИ ПОДПРОГРАММЫ 1 "РАЗВИТИЕ ИНФОРМАЦИОННОГО ОБЩЕСТВА В РЕСПУБЛИКЕ ТЫВА НА 2021 - 2025 ГОДЫ" ГОСУДАРСТВЕННОЙ ПРОГРАММЫ РЕСПУБЛИКИ ТЫВА "РАЗВИТИЕ ИНФОРМАЦИОННОГО ОБЩЕСТВА И СРЕДСТВ МАССОВОЙ ИНФОРМАЦИИ В РЕСПУБЛИКЕ </w:t>
      </w:r>
      <w:r>
        <w:rPr>
          <w:rFonts w:ascii="PT Astra Serif" w:hAnsi="PT Astra Serif"/>
          <w:b/>
          <w:color w:val="000000"/>
          <w:sz w:val="28"/>
          <w:szCs w:val="28"/>
        </w:rPr>
        <w:t>ТЫВА НА 2021 - 2025 ГОДЫ"</w:t>
      </w:r>
    </w:p>
    <w:tbl>
      <w:tblPr>
        <w:tblW w:w="9742" w:type="dxa"/>
        <w:tblInd w:w="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62" w:type="dxa"/>
        </w:tblCellMar>
        <w:tblLook w:val="0000" w:firstRow="0" w:lastRow="0" w:firstColumn="0" w:lastColumn="0" w:noHBand="0" w:noVBand="0"/>
      </w:tblPr>
      <w:tblGrid>
        <w:gridCol w:w="5037"/>
        <w:gridCol w:w="1087"/>
        <w:gridCol w:w="1063"/>
        <w:gridCol w:w="1062"/>
        <w:gridCol w:w="1493"/>
      </w:tblGrid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Наименование целевого показателя (индикатора)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План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Факт </w:t>
            </w:r>
          </w:p>
        </w:tc>
        <w:tc>
          <w:tcPr>
            <w:tcW w:w="14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Исполнение в %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2022 год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2022 год</w:t>
            </w:r>
          </w:p>
        </w:tc>
        <w:tc>
          <w:tcPr>
            <w:tcW w:w="14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1. Количество реализованных на базе единой платформы сервисов обеспечения функций органов государственной власти и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органов местного самоуправления, в том числе типовых функций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2. Количество государственных услуг, предоставляемых органами государственной власти в реестровой модели и (или) в </w:t>
            </w:r>
            <w:proofErr w:type="spell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проактивном</w:t>
            </w:r>
            <w:proofErr w:type="spell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режиме с предоставлением результата в электронном виде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на ЕПГУ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процентов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3. Доля расходов на закупки и (или) аренду отечественного программного обеспечения и платформ от общих расходов на закупку или аренду программного обеспечения.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процентов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в</w:t>
            </w:r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2 раза</w:t>
            </w:r>
          </w:p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больше</w:t>
            </w:r>
            <w:proofErr w:type="gramEnd"/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4. доля обращений за получением массовых социально значимых государственных и муниципальных услуг в электронном виде с использованием ЕПГУ без необходимости личного посещения органов государственной власти, органов местного самоуправления и МФЦ, от общего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количества таких услуг, в 2021 году 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процентов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30</w:t>
            </w:r>
          </w:p>
          <w:p w:rsidR="00DD68C5" w:rsidRDefault="00DD68C5">
            <w:pPr>
              <w:pStyle w:val="af6"/>
              <w:widowControl w:val="0"/>
              <w:shd w:val="clear" w:color="auto" w:fill="FFFFFF"/>
              <w:spacing w:before="280"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41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136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5. доля массовых социально значимых государственных и муниципальных услуг в электронном виде, предоставляемых с использованием ЕПГУ, от общего количества таких услуг, предоставляемых в электронном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виде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процентов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55</w:t>
            </w:r>
          </w:p>
          <w:p w:rsidR="00DD68C5" w:rsidRDefault="00DD68C5">
            <w:pPr>
              <w:pStyle w:val="af6"/>
              <w:widowControl w:val="0"/>
              <w:shd w:val="clear" w:color="auto" w:fill="FFFFFF"/>
              <w:spacing w:before="280"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91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165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6. Уровень удовлетворенности качеством предоставления массовых социально значимых государственных и муниципальных услуг в электронном виде с использованием Единого портала государственных и муниципальных услуг (ЕПГУ)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баллы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3,9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3,9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7. Доля зарегистрированных пользователей ЕПГУ, использующих сервисы ЕПГУ в текущем году в целях получения государственных и муниципальных услуг в электронном виде, от общего числа зарегистрированных пользователей ЕПГУ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процентов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8. Доля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социально значимых объектов, имеющих широкополосный доступ к информационно-телекоммуникационной сети «Интернет» в соответствии с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lastRenderedPageBreak/>
              <w:t>утвержденными требованиями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lastRenderedPageBreak/>
              <w:t>процентов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contextualSpacing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lastRenderedPageBreak/>
              <w:t>9. Количество участков мировых судей, имеющих сформированную и функционирующую информационно-технологическую и телекоммуникационную инфраструктуру для организации защищенного межведомственного электронного взаимодействия, приема исковых заявлений, направля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емых в электронном виде, и организации участия в заседаниях мировых судов в режиме видео-конференц-</w:t>
            </w:r>
            <w:proofErr w:type="spell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связиКоличество</w:t>
            </w:r>
            <w:proofErr w:type="spell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Усл</w:t>
            </w:r>
            <w:proofErr w:type="spell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>. Единица</w:t>
            </w:r>
          </w:p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10. Количество государственных (муниципальных) служащих и работников учреждений, прошедших обучение компетенциям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в сфере цифровой трансформации государственного и муниципального управления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человек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40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86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2,15 раза больше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11. Средний срок простоя государственных информационных систем в результате компьютерных атак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час</w:t>
            </w:r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>.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-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-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-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12. Стоимостная доля закупаемого и (или)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арендуемого федеральными органами исполнительной власти, органами исполнительной власти субъектов и иными органами государственной власти отечественного программного обеспечения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процентов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-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-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-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13.Субъектами Российской Федерации реализованы мероприятия по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созданию и организации работы единой службы оперативной помощи гражданам по номеру «122»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0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14.Формирование и функционирование необходимой информационно-технологической и телекоммуникационной инфраструктуры на судебных участках мировых судей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Республики Тыва для организации защищённого межведомственного электронного взаимодействия, приёма исковых заявлений, направляемых в электронном виде, и организации участия в заседаниях мировых судов в режиме видеоконференцсвязи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ab/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Субсидии отозваны в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2022 году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Arial;sans-serif" w:hAnsi="Arial;sans-serif"/>
                <w:color w:val="444444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15. Доля государственных и муниципальных образовательных организаций, реализующих программы начального общего, основного общего, среднего общего и среднего профессионального образования, в учебных классах которых обеспечена возможность беспровод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ного широкополосного доступа к информационно-телекоммуникационной «Интернет» по технологии </w:t>
            </w:r>
            <w:proofErr w:type="spell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WiFi</w:t>
            </w:r>
            <w:proofErr w:type="spell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ab/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0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0"/>
                <w:szCs w:val="20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Субсидии не предусмотрены на 2023 год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</w:tr>
    </w:tbl>
    <w:p w:rsidR="00DD68C5" w:rsidRDefault="004F7F64">
      <w:pPr>
        <w:pStyle w:val="af6"/>
        <w:shd w:val="clear" w:color="auto" w:fill="FFFFFF"/>
        <w:spacing w:before="280" w:after="280"/>
        <w:rPr>
          <w:b/>
          <w:sz w:val="28"/>
          <w:szCs w:val="28"/>
        </w:rPr>
      </w:pPr>
      <w:r>
        <w:rPr>
          <w:rFonts w:ascii="PT Astra Serif" w:hAnsi="PT Astra Serif"/>
          <w:b/>
          <w:color w:val="000000"/>
          <w:sz w:val="28"/>
          <w:szCs w:val="28"/>
        </w:rPr>
        <w:t>МФЦ</w:t>
      </w:r>
    </w:p>
    <w:tbl>
      <w:tblPr>
        <w:tblW w:w="9713" w:type="dxa"/>
        <w:tblInd w:w="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62" w:type="dxa"/>
        </w:tblCellMar>
        <w:tblLook w:val="0000" w:firstRow="0" w:lastRow="0" w:firstColumn="0" w:lastColumn="0" w:noHBand="0" w:noVBand="0"/>
      </w:tblPr>
      <w:tblGrid>
        <w:gridCol w:w="5037"/>
        <w:gridCol w:w="1137"/>
        <w:gridCol w:w="1013"/>
        <w:gridCol w:w="1163"/>
        <w:gridCol w:w="1363"/>
      </w:tblGrid>
      <w:tr w:rsidR="00DD68C5">
        <w:trPr>
          <w:trHeight w:val="1047"/>
        </w:trPr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color w:val="000000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lastRenderedPageBreak/>
              <w:t>Наименование целевого показателя (индикатора)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28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План</w:t>
            </w:r>
          </w:p>
          <w:p w:rsidR="00DD68C5" w:rsidRDefault="00DD68C5">
            <w:pPr>
              <w:pStyle w:val="af6"/>
              <w:widowControl w:val="0"/>
              <w:shd w:val="clear" w:color="auto" w:fill="FFFFFF"/>
              <w:spacing w:before="280" w:after="28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4F7F64">
            <w:pPr>
              <w:pStyle w:val="af6"/>
              <w:widowControl w:val="0"/>
              <w:shd w:val="clear" w:color="auto" w:fill="FFFFFF"/>
              <w:spacing w:before="280"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2022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Факт</w:t>
            </w:r>
          </w:p>
          <w:p w:rsidR="00DD68C5" w:rsidRDefault="004F7F64">
            <w:pPr>
              <w:pStyle w:val="af6"/>
              <w:widowControl w:val="0"/>
              <w:shd w:val="clear" w:color="auto" w:fill="FFFFFF"/>
              <w:spacing w:before="280"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2022 г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</w:tc>
      </w:tr>
      <w:tr w:rsidR="00DD68C5">
        <w:trPr>
          <w:trHeight w:val="1047"/>
        </w:trPr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1. Доля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ошибок, допущенных сотрудниками МФЦ при приеме документов на государственную регистрацию прав (полнота и комплектность документов), в общем количестве документов, принятых в МФЦ на государственную регистрацию прав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процентов</w:t>
            </w:r>
            <w:proofErr w:type="gramEnd"/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0,8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0,6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75</w:t>
            </w:r>
          </w:p>
        </w:tc>
      </w:tr>
      <w:tr w:rsidR="00DD68C5"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2. Доля пакетов доку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ментов, которые приняты в МФЦ на государственную регистрацию прав и в отношении которых сотрудниками МФЦ не осуществлено или осуществлено некачественное сканирование, в общем количестве пакетов документов, принятых в МФЦ на государственную регистрацию прав</w:t>
            </w:r>
          </w:p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color w:val="000000"/>
                <w:sz w:val="28"/>
                <w:szCs w:val="28"/>
              </w:rPr>
            </w:pPr>
          </w:p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процентов</w:t>
            </w:r>
            <w:proofErr w:type="gramEnd"/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0,13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0,13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rPr>
          <w:trHeight w:val="371"/>
        </w:trPr>
        <w:tc>
          <w:tcPr>
            <w:tcW w:w="5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DD68C5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</w:p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3. Объем госпошлин, перечисляемых в республиканский бюджет Республики Тыва за счет оказания государственных услуг федеральных органов власти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тыс. рублей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23 619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19 952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84,5</w:t>
            </w:r>
          </w:p>
        </w:tc>
      </w:tr>
    </w:tbl>
    <w:p w:rsidR="00DD68C5" w:rsidRDefault="004F7F64">
      <w:pPr>
        <w:pStyle w:val="af6"/>
        <w:shd w:val="clear" w:color="auto" w:fill="FFFFFF"/>
        <w:spacing w:before="280" w:after="280"/>
        <w:rPr>
          <w:color w:val="000000"/>
        </w:rPr>
      </w:pPr>
      <w:r>
        <w:rPr>
          <w:rFonts w:ascii="PT Astra Serif" w:hAnsi="PT Astra Serif"/>
          <w:b/>
          <w:color w:val="000000"/>
          <w:sz w:val="28"/>
          <w:szCs w:val="28"/>
        </w:rPr>
        <w:t>СМИ</w:t>
      </w:r>
    </w:p>
    <w:tbl>
      <w:tblPr>
        <w:tblW w:w="9654" w:type="dxa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62" w:type="dxa"/>
        </w:tblCellMar>
        <w:tblLook w:val="0000" w:firstRow="0" w:lastRow="0" w:firstColumn="0" w:lastColumn="0" w:noHBand="0" w:noVBand="0"/>
      </w:tblPr>
      <w:tblGrid>
        <w:gridCol w:w="4998"/>
        <w:gridCol w:w="1140"/>
        <w:gridCol w:w="1025"/>
        <w:gridCol w:w="1123"/>
        <w:gridCol w:w="1368"/>
      </w:tblGrid>
      <w:tr w:rsidR="00DD68C5">
        <w:trPr>
          <w:trHeight w:val="828"/>
        </w:trPr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Наименование целевого показателя (индикатора)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28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План </w:t>
            </w:r>
          </w:p>
          <w:p w:rsidR="00DD68C5" w:rsidRDefault="004F7F64">
            <w:pPr>
              <w:pStyle w:val="af6"/>
              <w:widowControl w:val="0"/>
              <w:shd w:val="clear" w:color="auto" w:fill="FFFFFF"/>
              <w:spacing w:before="280"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2022 г.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Факт 2022 г.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В %</w:t>
            </w:r>
          </w:p>
        </w:tc>
      </w:tr>
      <w:tr w:rsidR="00DD68C5"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1. Выпуск газет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полос</w:t>
            </w:r>
            <w:proofErr w:type="gramEnd"/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4208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3632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86</w:t>
            </w:r>
          </w:p>
        </w:tc>
      </w:tr>
      <w:tr w:rsidR="00DD68C5"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2. Выпуск книжной продукции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печатных</w:t>
            </w:r>
            <w:proofErr w:type="gramEnd"/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листов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230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278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120</w:t>
            </w:r>
          </w:p>
        </w:tc>
      </w:tr>
      <w:tr w:rsidR="00DD68C5"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3. Объем вещания регионального телеканала (на кабельном телевидении)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часов</w:t>
            </w:r>
            <w:proofErr w:type="gramEnd"/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8760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8760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lastRenderedPageBreak/>
              <w:t xml:space="preserve">4. Объем вещания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регионального телеканала (на федеральной врезке)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часов</w:t>
            </w:r>
            <w:proofErr w:type="gramEnd"/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1044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1044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5. Объем вещания регионального радиоканала во врезке федерального радиоканала «Звезда»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часов</w:t>
            </w:r>
            <w:proofErr w:type="gramEnd"/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42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42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</w:t>
            </w:r>
          </w:p>
        </w:tc>
      </w:tr>
      <w:tr w:rsidR="00DD68C5">
        <w:trPr>
          <w:trHeight w:val="363"/>
        </w:trPr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both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6. Объем выпускаемых материалов в сетевых изданиях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ascii="PT Astra Serif" w:hAnsi="PT Astra Serif"/>
                <w:color w:val="000000"/>
                <w:sz w:val="28"/>
                <w:szCs w:val="28"/>
              </w:rPr>
              <w:t>материалов</w:t>
            </w:r>
            <w:proofErr w:type="gramEnd"/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10000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>26900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68C5" w:rsidRDefault="004F7F64">
            <w:pPr>
              <w:pStyle w:val="af6"/>
              <w:widowControl w:val="0"/>
              <w:shd w:val="clear" w:color="auto" w:fill="FFFFFF"/>
              <w:spacing w:after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На 2.7 </w:t>
            </w:r>
            <w:r>
              <w:rPr>
                <w:rFonts w:ascii="PT Astra Serif" w:hAnsi="PT Astra Serif"/>
                <w:color w:val="000000"/>
                <w:sz w:val="28"/>
                <w:szCs w:val="28"/>
              </w:rPr>
              <w:t>раза больше</w:t>
            </w:r>
          </w:p>
        </w:tc>
      </w:tr>
    </w:tbl>
    <w:p w:rsidR="00DD68C5" w:rsidRDefault="00DD68C5">
      <w:pPr>
        <w:pStyle w:val="af6"/>
        <w:shd w:val="clear" w:color="auto" w:fill="FFFFFF"/>
        <w:spacing w:beforeAutospacing="0" w:after="0" w:afterAutospacing="0"/>
        <w:jc w:val="both"/>
      </w:pPr>
    </w:p>
    <w:sectPr w:rsidR="00DD68C5">
      <w:pgSz w:w="11906" w:h="16838"/>
      <w:pgMar w:top="1134" w:right="705" w:bottom="1134" w:left="1388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Arial"/>
    <w:charset w:val="01"/>
    <w:family w:val="swiss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rial;sans-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8C5"/>
    <w:rsid w:val="004F7F64"/>
    <w:rsid w:val="00DD6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251DCA-1732-4F05-988D-074EB21E8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  <w:ind w:left="-1" w:hanging="1"/>
      <w:outlineLvl w:val="0"/>
    </w:pPr>
    <w:rPr>
      <w:rFonts w:cs="Calibri"/>
      <w:sz w:val="22"/>
      <w:vertAlign w:val="subscript"/>
    </w:rPr>
  </w:style>
  <w:style w:type="paragraph" w:styleId="1">
    <w:name w:val="heading 1"/>
    <w:basedOn w:val="a"/>
    <w:uiPriority w:val="9"/>
    <w:qFormat/>
    <w:pPr>
      <w:keepNext/>
      <w:keepLines/>
      <w:spacing w:before="48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главление 1 Знак"/>
    <w:basedOn w:val="a0"/>
    <w:link w:val="11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20">
    <w:name w:val="Оглавление 2 Знак"/>
    <w:basedOn w:val="a0"/>
    <w:link w:val="21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-">
    <w:name w:val="Интернет-ссылка"/>
    <w:uiPriority w:val="99"/>
    <w:unhideWhenUsed/>
    <w:rPr>
      <w:color w:val="0563C1" w:themeColor="hyperlink"/>
      <w:u w:val="single"/>
    </w:rPr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a3">
    <w:name w:val="Привязка сноски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Pr>
      <w:vertAlign w:val="superscript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a4">
    <w:name w:val="Привязка концевой сноски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Pr>
      <w:vertAlign w:val="superscript"/>
    </w:rPr>
  </w:style>
  <w:style w:type="character" w:customStyle="1" w:styleId="a5">
    <w:name w:val="Обычный (Интернет) Знак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7">
    <w:name w:val="Body Text"/>
    <w:basedOn w:val="a"/>
    <w:pPr>
      <w:spacing w:after="140"/>
    </w:pPr>
  </w:style>
  <w:style w:type="paragraph" w:styleId="a8">
    <w:name w:val="List"/>
    <w:basedOn w:val="a7"/>
    <w:rPr>
      <w:rFonts w:ascii="PT Astra Serif" w:hAnsi="PT Astra Serif" w:cs="Noto Sans Devanagari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b">
    <w:name w:val="List Paragraph"/>
    <w:basedOn w:val="a"/>
    <w:uiPriority w:val="34"/>
    <w:qFormat/>
    <w:pPr>
      <w:spacing w:after="0"/>
      <w:ind w:left="720" w:firstLine="0"/>
      <w:contextualSpacing/>
    </w:pPr>
  </w:style>
  <w:style w:type="paragraph" w:styleId="ac">
    <w:name w:val="No Spacing"/>
    <w:uiPriority w:val="1"/>
    <w:qFormat/>
    <w:rPr>
      <w:sz w:val="22"/>
    </w:rPr>
  </w:style>
  <w:style w:type="paragraph" w:styleId="ad">
    <w:name w:val="Title"/>
    <w:basedOn w:val="a"/>
    <w:uiPriority w:val="10"/>
    <w:qFormat/>
    <w:pPr>
      <w:spacing w:before="300"/>
      <w:contextualSpacing/>
    </w:pPr>
    <w:rPr>
      <w:sz w:val="48"/>
      <w:szCs w:val="48"/>
    </w:rPr>
  </w:style>
  <w:style w:type="paragraph" w:styleId="ae">
    <w:name w:val="Subtitle"/>
    <w:basedOn w:val="a"/>
    <w:uiPriority w:val="11"/>
    <w:qFormat/>
    <w:pPr>
      <w:spacing w:before="200"/>
    </w:pPr>
    <w:rPr>
      <w:sz w:val="24"/>
      <w:szCs w:val="24"/>
    </w:rPr>
  </w:style>
  <w:style w:type="paragraph" w:styleId="22">
    <w:name w:val="Quote"/>
    <w:basedOn w:val="a"/>
    <w:uiPriority w:val="29"/>
    <w:qFormat/>
    <w:pPr>
      <w:ind w:left="720" w:right="720" w:firstLine="0"/>
    </w:pPr>
    <w:rPr>
      <w:i/>
    </w:rPr>
  </w:style>
  <w:style w:type="paragraph" w:styleId="af">
    <w:name w:val="Intense Quote"/>
    <w:basedOn w:val="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after="0"/>
      <w:ind w:left="720" w:right="720" w:firstLine="0"/>
    </w:pPr>
    <w:rPr>
      <w:i/>
    </w:rPr>
  </w:style>
  <w:style w:type="paragraph" w:styleId="af0">
    <w:name w:val="header"/>
    <w:aliases w:val="Оглавление 4 Знак"/>
    <w:basedOn w:val="a"/>
    <w:link w:val="40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paragraph" w:styleId="af1">
    <w:name w:val="footer"/>
    <w:basedOn w:val="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paragraph" w:styleId="af2">
    <w:name w:val="footnote text"/>
    <w:basedOn w:val="a"/>
    <w:uiPriority w:val="99"/>
    <w:semiHidden/>
    <w:unhideWhenUsed/>
    <w:pPr>
      <w:spacing w:after="40" w:line="240" w:lineRule="auto"/>
    </w:pPr>
    <w:rPr>
      <w:sz w:val="18"/>
    </w:rPr>
  </w:style>
  <w:style w:type="paragraph" w:styleId="af3">
    <w:name w:val="endnote text"/>
    <w:basedOn w:val="a"/>
    <w:uiPriority w:val="99"/>
    <w:semiHidden/>
    <w:unhideWhenUsed/>
    <w:pPr>
      <w:spacing w:after="0" w:line="240" w:lineRule="auto"/>
    </w:pPr>
    <w:rPr>
      <w:sz w:val="20"/>
    </w:rPr>
  </w:style>
  <w:style w:type="paragraph" w:styleId="11">
    <w:name w:val="toc 1"/>
    <w:basedOn w:val="a"/>
    <w:link w:val="10"/>
    <w:uiPriority w:val="39"/>
    <w:unhideWhenUsed/>
    <w:pPr>
      <w:spacing w:after="57"/>
      <w:ind w:left="0" w:firstLine="0"/>
    </w:pPr>
  </w:style>
  <w:style w:type="paragraph" w:styleId="21">
    <w:name w:val="toc 2"/>
    <w:basedOn w:val="a"/>
    <w:link w:val="20"/>
    <w:uiPriority w:val="39"/>
    <w:unhideWhenUsed/>
    <w:pPr>
      <w:spacing w:after="57"/>
      <w:ind w:left="283" w:firstLine="0"/>
    </w:pPr>
  </w:style>
  <w:style w:type="paragraph" w:styleId="30">
    <w:name w:val="toc 3"/>
    <w:basedOn w:val="a"/>
    <w:uiPriority w:val="39"/>
    <w:unhideWhenUsed/>
    <w:pPr>
      <w:spacing w:after="57"/>
      <w:ind w:left="567" w:firstLine="0"/>
    </w:pPr>
  </w:style>
  <w:style w:type="paragraph" w:styleId="40">
    <w:name w:val="toc 4"/>
    <w:aliases w:val="Верхний колонтитул Знак,Оглавление 4 Знак Знак"/>
    <w:basedOn w:val="a"/>
    <w:link w:val="af0"/>
    <w:uiPriority w:val="39"/>
    <w:unhideWhenUsed/>
    <w:pPr>
      <w:spacing w:after="57"/>
      <w:ind w:left="850" w:firstLine="0"/>
    </w:pPr>
  </w:style>
  <w:style w:type="paragraph" w:styleId="50">
    <w:name w:val="toc 5"/>
    <w:basedOn w:val="a"/>
    <w:uiPriority w:val="39"/>
    <w:unhideWhenUsed/>
    <w:pPr>
      <w:spacing w:after="57"/>
      <w:ind w:left="1134" w:firstLine="0"/>
    </w:pPr>
  </w:style>
  <w:style w:type="paragraph" w:styleId="60">
    <w:name w:val="toc 6"/>
    <w:basedOn w:val="a"/>
    <w:uiPriority w:val="39"/>
    <w:unhideWhenUsed/>
    <w:pPr>
      <w:spacing w:after="57"/>
      <w:ind w:left="1417" w:firstLine="0"/>
    </w:pPr>
  </w:style>
  <w:style w:type="paragraph" w:styleId="70">
    <w:name w:val="toc 7"/>
    <w:basedOn w:val="a"/>
    <w:uiPriority w:val="39"/>
    <w:unhideWhenUsed/>
    <w:pPr>
      <w:spacing w:after="57"/>
      <w:ind w:left="1701" w:firstLine="0"/>
    </w:pPr>
  </w:style>
  <w:style w:type="paragraph" w:styleId="80">
    <w:name w:val="toc 8"/>
    <w:basedOn w:val="a"/>
    <w:uiPriority w:val="39"/>
    <w:unhideWhenUsed/>
    <w:pPr>
      <w:spacing w:after="57"/>
      <w:ind w:left="1984" w:firstLine="0"/>
    </w:pPr>
  </w:style>
  <w:style w:type="paragraph" w:styleId="90">
    <w:name w:val="toc 9"/>
    <w:basedOn w:val="a"/>
    <w:uiPriority w:val="39"/>
    <w:unhideWhenUsed/>
    <w:pPr>
      <w:spacing w:after="57"/>
      <w:ind w:left="2268" w:firstLine="0"/>
    </w:pPr>
  </w:style>
  <w:style w:type="paragraph" w:styleId="af4">
    <w:name w:val="TOC Heading"/>
    <w:uiPriority w:val="39"/>
    <w:unhideWhenUsed/>
    <w:qFormat/>
    <w:rPr>
      <w:sz w:val="22"/>
    </w:rPr>
  </w:style>
  <w:style w:type="paragraph" w:styleId="af5">
    <w:name w:val="table of figures"/>
    <w:basedOn w:val="a"/>
    <w:uiPriority w:val="99"/>
    <w:unhideWhenUsed/>
    <w:qFormat/>
    <w:pPr>
      <w:spacing w:after="0"/>
    </w:pPr>
  </w:style>
  <w:style w:type="paragraph" w:styleId="af6">
    <w:name w:val="Normal (Web)"/>
    <w:basedOn w:val="a"/>
    <w:uiPriority w:val="99"/>
    <w:unhideWhenUsed/>
    <w:qFormat/>
    <w:pPr>
      <w:spacing w:beforeAutospacing="1" w:afterAutospacing="1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822</Words>
  <Characters>4689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dc:description/>
  <cp:lastModifiedBy>buhgalter</cp:lastModifiedBy>
  <cp:revision>2</cp:revision>
  <dcterms:created xsi:type="dcterms:W3CDTF">2023-03-16T08:02:00Z</dcterms:created>
  <dcterms:modified xsi:type="dcterms:W3CDTF">2023-03-16T08:02:00Z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