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line="229" w:lineRule="atLeast"/>
        <w:rPr>
          <w:rFonts w:ascii="Liberation Sans" w:hAnsi="Liberation Sans" w:eastAsia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Доклад</w:t>
      </w:r>
      <w:r/>
    </w:p>
    <w:p>
      <w:pPr>
        <w:ind w:left="0" w:right="0" w:firstLine="0"/>
        <w:jc w:val="center"/>
        <w:spacing w:after="0" w:line="229" w:lineRule="atLeast"/>
        <w:rPr>
          <w:rFonts w:ascii="Liberation Sans" w:hAnsi="Liberation Sans" w:eastAsia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о деятельности казенного предприятия Республики Тыва «Центр информационных технологий Республики Тыва» Республики Тыва за первое полугодие и задачах на второе полугодие 2024 года.</w:t>
      </w:r>
      <w:r/>
    </w:p>
    <w:p>
      <w:pPr>
        <w:ind w:left="0" w:right="0" w:firstLine="0"/>
        <w:jc w:val="center"/>
        <w:spacing w:after="0" w:line="229" w:lineRule="atLeast"/>
        <w:rPr>
          <w:rFonts w:ascii="Liberation Sans" w:hAnsi="Liberation Sans" w:eastAsia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after="0" w:line="229" w:lineRule="atLeast"/>
        <w:rPr>
          <w:rFonts w:ascii="Liberation Sans" w:hAnsi="Liberation Sans" w:eastAsia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0"/>
        <w:jc w:val="center"/>
        <w:spacing w:after="0" w:line="229" w:lineRule="atLeast"/>
        <w:rPr>
          <w:rFonts w:ascii="Liberation Sans" w:hAnsi="Liberation Sans" w:eastAsia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Уважаемый Олег Николаевич!</w:t>
      </w:r>
      <w:r/>
    </w:p>
    <w:p>
      <w:pPr>
        <w:ind w:left="0" w:right="0" w:firstLine="0"/>
        <w:jc w:val="center"/>
        <w:spacing w:after="0" w:line="229" w:lineRule="atLeast"/>
        <w:rPr>
          <w:rFonts w:ascii="Liberation Sans" w:hAnsi="Liberation Sans" w:eastAsia="Liberation Sans" w:cs="Liberation Sans"/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Уважаемые приглашенные!</w:t>
      </w:r>
      <w:r/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left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  <w:t xml:space="preserve">Слайд 1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Казенное предприятие Республики Тыва «Центр информационных технологий Республики Тыва» (далее – казенное предприятие) создано в соответствии с постановлением Правительства Республики Тыва от 31 марта 2010 года № 109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Учредителем казенного предприятия является Правительство Республики Тыва в лице Министерства цифрового развития Республики Тыва. </w:t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Основной целью КП РТ ЦИТ РТ является поддержание лидирующих позиций в области внедрения Электронного Правительства, создания, развития и сопровождения государственных информационных систем государственного (республиканского) назначения в разрезе субъектов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РФ.</w:t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рамках выполняемых работ и услуг КП РТ ЦИТ РТ обслуживает порядка 5000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клиентов/пользователей в разрезе всех ГИС.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Во исполнение поставленной цели за истекший период 2024 года выполнялись работы по следующим основным направлениям:</w:t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  <w:t xml:space="preserve">Слайд 2</w:t>
      </w: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 </w:t>
      </w:r>
      <w:r>
        <w:rPr>
          <w:u w:val="single"/>
        </w:rPr>
      </w:r>
    </w:p>
    <w:p>
      <w:pPr>
        <w:ind w:left="0" w:right="0" w:firstLine="993"/>
        <w:jc w:val="center"/>
        <w:spacing w:line="229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Техническое сопровождение и обеспечение стабильной работы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системы электронного документооборота и других систем ОИВ и ОМСУ Республики Тыва:</w:t>
      </w:r>
      <w:r>
        <w:rPr>
          <w:highlight w:val="none"/>
        </w:rPr>
      </w:r>
      <w:r/>
    </w:p>
    <w:p>
      <w:pPr>
        <w:numPr>
          <w:ilvl w:val="0"/>
          <w:numId w:val="1"/>
        </w:numPr>
        <w:ind w:left="0" w:right="0" w:firstLine="709"/>
        <w:jc w:val="both"/>
        <w:spacing w:before="0" w:after="0" w:line="229" w:lineRule="atLeast"/>
        <w:tabs>
          <w:tab w:val="left" w:pos="360" w:leader="none"/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Оказание услуг по поддержанию организационной структуры ОИВ и ОМСУ в актуальном состоянии (в СЭД «Практика»);</w:t>
      </w:r>
      <w:r/>
    </w:p>
    <w:p>
      <w:pPr>
        <w:numPr>
          <w:ilvl w:val="0"/>
          <w:numId w:val="1"/>
        </w:numPr>
        <w:ind w:left="0" w:right="0" w:firstLine="709"/>
        <w:jc w:val="both"/>
        <w:spacing w:before="0" w:after="0" w:line="229" w:lineRule="atLeast"/>
        <w:tabs>
          <w:tab w:val="left" w:pos="360" w:leader="none"/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Сопровождение СЭД «Практика» в части технической поддержки первой линии,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выполнение заявок от ОИВ и ОМСУ Республики Тыва; </w:t>
      </w:r>
      <w:r/>
    </w:p>
    <w:p>
      <w:pPr>
        <w:numPr>
          <w:ilvl w:val="0"/>
          <w:numId w:val="1"/>
        </w:numPr>
        <w:ind w:left="0" w:right="0" w:firstLine="709"/>
        <w:jc w:val="both"/>
        <w:spacing w:before="0" w:after="0" w:line="229" w:lineRule="atLeast"/>
        <w:tabs>
          <w:tab w:val="left" w:pos="360" w:leader="none"/>
          <w:tab w:val="left" w:pos="992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Установка дополнительных программных модулей и дополнительных рабочих мест;</w:t>
      </w:r>
      <w:r/>
    </w:p>
    <w:p>
      <w:pPr>
        <w:ind w:left="0" w:right="0" w:firstLine="709"/>
        <w:jc w:val="both"/>
        <w:spacing w:after="0" w:line="229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исполнения поручений Правительства Республики Тыва и министерства цифрового развития успешно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 проделана следующая работа:</w:t>
      </w:r>
      <w:r>
        <w:rPr>
          <w:b/>
          <w:bCs/>
        </w:rPr>
      </w:r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Осуществлена разработка и внедрение программного обеспечения «Мониторинг исполнительской дисциплины» и  «Руководитель высшего звена»  в системе электронного документооборота «Практика»;</w:t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В текущем году  сотрудниками КП «ЦИТ» обеспечено подключение всех органов исполнительной власти и местного самоуправления республики к СЭД «Практика», исполнено 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100%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/>
    </w:p>
    <w:p>
      <w:pPr>
        <w:ind w:left="0" w:right="0" w:firstLine="708"/>
        <w:spacing w:line="229" w:lineRule="atLeast"/>
        <w:rPr>
          <w:rFonts w:ascii="Liberation Sans" w:hAnsi="Liberation Sans" w:eastAsia="Liberation Sans" w:cs="Liberation Sans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8 месяцев  в отдел сопровождения поступило 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</w:rPr>
        <w:t xml:space="preserve">11 520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звонков, это в среднем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1280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звонков в месяц 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64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звонка в день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0"/>
          <w:szCs w:val="20"/>
          <w:highlight w:val="none"/>
        </w:rPr>
      </w:r>
    </w:p>
    <w:p>
      <w:pPr>
        <w:ind w:left="0" w:right="0" w:firstLine="708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</w:p>
    <w:p>
      <w:pPr>
        <w:ind w:left="0" w:right="0" w:firstLine="708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</w:p>
    <w:p>
      <w:pPr>
        <w:ind w:left="0" w:right="0" w:firstLine="708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</w:p>
    <w:p>
      <w:pPr>
        <w:ind w:left="0" w:right="0" w:firstLine="708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Топ обращений по тематикам: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846"/>
        <w:numPr>
          <w:ilvl w:val="0"/>
          <w:numId w:val="16"/>
        </w:numPr>
        <w:ind w:left="0" w:right="0" w:firstLine="0"/>
        <w:jc w:val="left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Проблемы со входом в СЭД «Практика»;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14"/>
        </w:numPr>
        <w:ind w:left="0" w:right="0" w:firstLine="0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Настройка VipNet клиента;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14"/>
        </w:numPr>
        <w:ind w:left="0" w:right="0" w:firstLine="0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Настройка среды для работы с ЭЦП (Крипто-Про, cades-plagin cripto-pro, настройка в СЭД «Практика»);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46"/>
        <w:numPr>
          <w:ilvl w:val="0"/>
          <w:numId w:val="14"/>
        </w:numPr>
        <w:ind w:left="0" w:right="0" w:firstLine="0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Проблемы отображения платежей, заблокированные начисления (вопросы функционирования ГИС ГМП).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 всем обращениям принимаются  меры реагирования,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заявки обрабатываются в среднем в течение 8 часов.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/>
    </w:p>
    <w:p>
      <w:pPr>
        <w:ind w:left="1057" w:right="0" w:firstLine="0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  <w:t xml:space="preserve">Слайд 3 и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</w:r>
      <w:r>
        <w:rPr>
          <w:u w:val="single"/>
        </w:rPr>
      </w:r>
    </w:p>
    <w:p>
      <w:pPr>
        <w:ind w:left="0" w:right="0" w:firstLine="708"/>
        <w:jc w:val="center"/>
        <w:spacing w:line="229" w:lineRule="atLeast"/>
        <w:rPr>
          <w:rFonts w:ascii="Liberation Sans" w:hAnsi="Liberation Sans" w:eastAsia="Liberation Sans" w:cs="Liberation Sans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Система электронного документооборота «Практика»</w:t>
      </w:r>
      <w:r>
        <w:rPr>
          <w:rFonts w:ascii="Liberation Sans" w:hAnsi="Liberation Sans" w:eastAsia="Liberation Sans" w:cs="Liberation Sans"/>
          <w:color w:val="000000"/>
          <w:sz w:val="20"/>
          <w:szCs w:val="20"/>
          <w:highlight w:val="none"/>
        </w:rPr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675"/>
        <w:gridCol w:w="2680"/>
      </w:tblGrid>
      <w:tr>
        <w:trPr>
          <w:trHeight w:val="3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Общее количество подключенных организаций в СЭД «Практика»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460 организаций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Общее количество активных пользователей в системе электронного документооборота «Практика»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3283 пользователя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 активных  пользователей, зарегистрированных в органах исполнительной власти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1034 пользователей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 активных пользователей, зарегистрированных в органах местного самоуправления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813 пользователей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 исх.писем за I полугодие 2024 г.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97 330</w:t>
            </w:r>
            <w:r/>
          </w:p>
        </w:tc>
      </w:tr>
      <w:tr>
        <w:trPr>
          <w:trHeight w:val="3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6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Общее количество исх.писем за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I полугодие 2024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г. подписанные ЭЦП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87 531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left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</w: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709"/>
        <w:jc w:val="left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  <w:t xml:space="preserve">Слайд 5</w:t>
      </w:r>
      <w:r/>
    </w:p>
    <w:p>
      <w:pPr>
        <w:ind w:left="0" w:right="0" w:firstLine="0"/>
        <w:jc w:val="center"/>
        <w:spacing w:after="0" w:line="229" w:lineRule="atLeast"/>
        <w:tabs>
          <w:tab w:val="left" w:pos="360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Создание и обеспечение устойчивого функционирования системы межведомственного электронного взаимодействия на базе единого центра обработки данных органов исполнительной власти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after="0" w:line="229" w:lineRule="atLeast"/>
        <w:tabs>
          <w:tab w:val="left" w:pos="3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Республики Тыва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:</w:t>
      </w:r>
      <w:r/>
    </w:p>
    <w:p>
      <w:pPr>
        <w:ind w:left="0" w:right="0" w:firstLine="0"/>
        <w:jc w:val="both"/>
        <w:spacing w:after="0" w:line="229" w:lineRule="atLeast"/>
        <w:tabs>
          <w:tab w:val="left" w:pos="36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/>
    </w:p>
    <w:p>
      <w:pPr>
        <w:numPr>
          <w:ilvl w:val="0"/>
          <w:numId w:val="1"/>
        </w:numPr>
        <w:jc w:val="both"/>
        <w:spacing w:before="0"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Выполнение работ по развитию системы межведомственного электронного взаимодействия, подсистемы мониторинга сети передачи данных органов власти;</w:t>
      </w:r>
      <w:r/>
    </w:p>
    <w:p>
      <w:pPr>
        <w:numPr>
          <w:ilvl w:val="0"/>
          <w:numId w:val="1"/>
        </w:numPr>
        <w:jc w:val="both"/>
        <w:spacing w:before="0" w:after="0" w:line="229" w:lineRule="atLeast"/>
        <w:tabs>
          <w:tab w:val="left" w:pos="6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Выполнение работ по взаимодействию с федеральной государственной информационной системой «Единая система межведомственного электронного взаимодействия» в части подсистемы «Ситуационный центр»;</w:t>
      </w:r>
      <w:r/>
    </w:p>
    <w:p>
      <w:pPr>
        <w:numPr>
          <w:ilvl w:val="0"/>
          <w:numId w:val="1"/>
        </w:numPr>
        <w:jc w:val="both"/>
        <w:spacing w:before="0" w:after="0" w:line="229" w:lineRule="atLeast"/>
        <w:tabs>
          <w:tab w:val="left" w:pos="6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Выполнение работ информационно-технологического взаимодействия информационных систем Республики Тыва в целях обеспечения единого входа в Единый СМЭВ.</w:t>
      </w:r>
      <w:r/>
    </w:p>
    <w:p>
      <w:pPr>
        <w:numPr>
          <w:ilvl w:val="0"/>
          <w:numId w:val="1"/>
        </w:numPr>
        <w:jc w:val="both"/>
        <w:spacing w:before="0" w:after="0" w:line="229" w:lineRule="atLeast"/>
        <w:tabs>
          <w:tab w:val="left" w:pos="6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Сопровождение государственной информационной системы о государственных и муниципальных платежах.</w:t>
      </w:r>
      <w:r/>
    </w:p>
    <w:p>
      <w:pPr>
        <w:numPr>
          <w:ilvl w:val="0"/>
          <w:numId w:val="1"/>
        </w:numPr>
        <w:jc w:val="both"/>
        <w:spacing w:before="0" w:after="0" w:line="229" w:lineRule="atLeast"/>
        <w:tabs>
          <w:tab w:val="left" w:pos="360" w:leader="none"/>
          <w:tab w:val="left" w:pos="670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Оказание консультативных услуг для граждан, юридических лиц и органов власти по вопросам ЕСИА, ЕПГУ, ГИС ЖКХ, ГИС ГМП, ФГИС ДО, ФРГУ, Торги, ГАСУ.</w:t>
      </w:r>
      <w:r/>
      <w:r/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  <w:r/>
      <w:r/>
    </w:p>
    <w:p>
      <w:pPr>
        <w:ind w:left="0" w:right="0" w:firstLine="0"/>
        <w:jc w:val="left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Статистические данные за 2024 год</w:t>
      </w:r>
      <w:r/>
    </w:p>
    <w:p>
      <w:pPr>
        <w:ind w:left="0" w:right="0" w:firstLine="0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по эксплуатации информационной системы «Digit МЭВ» </w:t>
      </w:r>
      <w:r/>
    </w:p>
    <w:p>
      <w:pPr>
        <w:ind w:left="0" w:right="0" w:firstLine="0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8 месяцев 2024 года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31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организаций республики запросили в информационной системе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«Digit МЭВ»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239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сведений.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330" w:lineRule="atLeast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В прошедшем году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26</w:t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ведомств республики обработали в информационной системе</w:t>
      </w:r>
      <w:r>
        <w:rPr>
          <w:rFonts w:ascii="Times New Roman" w:hAnsi="Times New Roman" w:eastAsia="Times New Roman" w:cs="Times New Roman"/>
          <w:b/>
          <w:color w:val="auto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</w:rPr>
        <w:t xml:space="preserve">3253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 сведений, запрошенных федеральными органами власти при предоставлении услуг населению (р-сведения)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</w:r>
      <w:r>
        <w:rPr>
          <w:u w:val="single"/>
        </w:rPr>
      </w:r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u w:val="singl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  <w:u w:val="single"/>
        </w:rPr>
        <w:t xml:space="preserve">Слайд 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single"/>
        </w:rPr>
      </w:r>
      <w:r>
        <w:rPr>
          <w:u w:val="single"/>
        </w:rPr>
      </w:r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Платформа государственных сервисов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ПГС 2.0</w:t>
      </w:r>
      <w:r/>
    </w:p>
    <w:p>
      <w:pPr>
        <w:ind w:left="0" w:right="0" w:firstLine="0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b/>
          <w:bCs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Во исполнение 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каза Президента Российской Федерации от 21.06.2020 № 474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«О национальных целях развития Российской Федерации на период до 2030 года» и в рамках реализации федерального проекта «Цифровое государственное управление» национальной программы «Циф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ровая экономика Российской Федерации»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утверждены распоряжением Правительства Республики Тыва от 18.10.2023 г. № 601-р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«Об утверждении перечня массовых социально значимых государственных и муниципальных услуг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2 государственных и муниципальных услуги.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  <w:tab/>
        <w:t xml:space="preserve">Для предоставления массово социально значимых услуг Минцифрой РФ была создана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Платформа государственных сервисов 2.0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- информационная система, обеспечивающая прием и обработку заявлений по массовым социально значимым государственным и муниципальным услугам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из федеральной государственный информационной системы "Единый портал государственных и муниципальных услуг (функций)". </w:t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Всего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в 2024 год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было подано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24612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заявления, из них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 5892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заявлений имеют статус «получено ведомством».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Как видно из статистических данных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24% поданных заявлений не обрабатываются организациями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ответственными за предоставление МСЗУ.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связи с чем, для решения данного вопроса необходимо внести персональную ответственность  должностных лиц из числа руководителей цифровой трансформации.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По сравнению с 2023 годом в 2024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 году заявлений на 15290 больше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а также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роцент обработанных заявлений увеличился с 46% до 76%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. Помимо этого,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white"/>
        </w:rPr>
        <w:t xml:space="preserve">количество необработанных заявлений значительно уменьшилось с 54% до 24%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, что показывает улучшение работы организац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ий, предоставляющих МСЗУ через ПГС 2.0 по сравнению с предыдущими годам. </w:t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Рост заявлений обоснован в первую очередь активизацией работы в муниципальных образованиях Республики Тыва, также значительное количество заявлений поступило от лиц пострадавших в ходе аварии на ТЭЦ г. Шагонара.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Проблемным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вопросом остается скорость обработки заявлений в ПГС, это связано с устаревшим оборудованием на местах органов власти местного самоуправления, АРМ подключаются к защищенной сети VipNet, что влечет за собой дополнительную нагрузку к системным требованиям.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Имеется необходимость предусмотреть расходы в бюджете на модернизацию АРМ в 2025 году.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0"/>
        <w:jc w:val="both"/>
        <w:spacing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tabs>
          <w:tab w:val="left" w:pos="727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Техническое сопровождение и обеспечение стабильной работы единого почтового домена RTYVA.RU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Всего  создано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486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 п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очтовых ящиков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под доменом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rtyva.ru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 Почтовые ящики, создаются в соответствии с поступающими заявками от ведомств.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left="0" w:right="0" w:firstLine="708"/>
        <w:jc w:val="both"/>
        <w:spacing w:after="30" w:line="33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Справочно:</w:t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Всего создано за весь период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</w:rPr>
              <w:t xml:space="preserve">486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почтовых ящика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Почтовые ящики созданные для органов исполнительной власти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34  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Почтовые ящики созданные для органов местного самоуправления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23 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Почтовые ящики созданные для подведомственных организаций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29" w:lineRule="atLeast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429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after="0" w:line="22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</w:rPr>
              <w:t xml:space="preserve"> </w:t>
            </w:r>
            <w:r/>
          </w:p>
        </w:tc>
      </w:tr>
    </w:tbl>
    <w:p>
      <w:pPr>
        <w:ind w:left="0" w:right="0" w:firstLine="0"/>
        <w:spacing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  <w:tab/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Разработка и сопровождение сайтов:</w:t>
      </w:r>
      <w:r/>
    </w:p>
    <w:p>
      <w:pPr>
        <w:ind w:left="0" w:right="0" w:firstLine="0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Оказание услуг по информационно-техническому обеспечению портала Правительства Республики Тыва и относящихся к данному домену нижестоящих доменов (более 100 субдоменов на *.rtyva.ru).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  <w:t xml:space="preserve">Всего осуществлялось техническое сопровождение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719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органов исполнительной власти, органов местного самоуправления, подведомственных учреждений и других организаций. </w:t>
      </w:r>
      <w:r/>
    </w:p>
    <w:p>
      <w:pPr>
        <w:ind w:left="0" w:right="0" w:firstLine="0"/>
        <w:jc w:val="center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0"/>
        <w:jc w:val="left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Работа с Госпабликами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В соответствии поручением министерства цифрового развития Российской Федерации все органы исполнительной власти, местного самоуправления и подведомственные организации должны вести работу в ПОС «Госпаблики».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highlight w:val="none"/>
        </w:rPr>
        <w:t xml:space="preserve">Совместно с Центром управления регионом и Департаментом информационной политики проводится совместная работа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созданию новых кабинетов в компоненте Госпаблики Платформы обратной связи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оличество личных кабинетов органов и организаций в ПОС достигло 727 (из них не готовы 66, готовы 661), в обработке обращений граждан задействованы 1002 учетных записей. Всего учетных записей: 1812 (из них не подтвержденные 415, 997 подтвержденных, 395 архив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ных (удаленные).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Создание новых кабинетов в компоненте Госпаблики Платформы обратной связи: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I этап. 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Добавление ответственных сотрудников в группы доступа Компонента в ЕСИА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: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1. «ПОС. Госпаблики. Кабинет редакции» 204 организации; 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2. «ПОС. Госпаблики. Кабинет учреждения» 808 организаций. 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</w:r>
      <w:r/>
    </w:p>
    <w:p>
      <w:pPr>
        <w:ind w:left="0" w:right="0" w:firstLine="709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II этап.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Создание новых кабинетов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 компоненте Госпаблики Платформы обратной связи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: </w:t>
      </w:r>
      <w:r/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1. ПОС. Госпаблики. Кабинет редакции» 28 организаций, из которых 17 ОИВ и 11 ОМСУ;  </w:t>
      </w:r>
      <w:r/>
    </w:p>
    <w:p>
      <w:pPr>
        <w:ind w:left="0" w:right="0" w:firstLine="0"/>
        <w:jc w:val="both"/>
        <w:spacing w:after="0" w:line="229" w:lineRule="atLeast"/>
        <w:tabs>
          <w:tab w:val="left" w:pos="709" w:leader="none"/>
        </w:tabs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ab/>
        <w:t xml:space="preserve">2. ПОС. Госпаблики. Кабинет учреждения» 135 подведомственных организаций.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after="0" w:line="229" w:lineRule="atLeast"/>
        <w:tabs>
          <w:tab w:val="left" w:pos="360" w:leader="none"/>
        </w:tabs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ab/>
        <w:t xml:space="preserve">Проблемным вопросом по реализации данного поручение остается не достаточное исполнение данного поручения со стороны ОИВ и ОМСУ, так как каждая организация, являющаяся самостоятельным юридическим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лицом должна вести работу по подключению самостоятельно (инструкции по подключению направлялись ранее), но по итогу подключением организаций занимаются сотрудники ЦИТ, ЦУР и ДИП в связи с чем, в Республике Тыва сохраняется достаточно низкий рейтинг ПОС.. 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993"/>
        <w:jc w:val="both"/>
        <w:spacing w:after="0" w:line="229" w:lineRule="atLeast"/>
        <w:rPr>
          <w:b w:val="0"/>
          <w:bCs w:val="0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color w:val="000000" w:themeColor="text1"/>
        </w:rPr>
      </w:r>
      <w:r>
        <w:rPr>
          <w:b w:val="0"/>
          <w:bCs w:val="0"/>
          <w:color w:val="000000" w:themeColor="text1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993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Сопровождение инфраструктуры сетей связи и серверных мощностей центра обработки данных министерства цифрового развития Республики Тыва, сопровождение технологии виртуализации:</w:t>
      </w:r>
      <w:r/>
    </w:p>
    <w:p>
      <w:pPr>
        <w:ind w:left="0" w:right="0" w:firstLine="708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Основная задача Регионального центра обработки данных (ЦОД) это создание условий для бесперебойной работы телекоммуникационного, серверного, а также другого оборудования, включая системы хранения данных.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Региональный центр обработки данных включен в реестр объектов критической информационной инфраструктуры Российской Федерации со второй категорией значимости.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Центр информационных технологи осуществляет поддержку размещенных государственных и ведомственных  информационных систем.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Всего на серверных мощностях  ЦОДа размещено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19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информационных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систем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 w:themeColor="text1"/>
          <w:sz w:val="32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</w:rPr>
        <w:t xml:space="preserve">Система 122, АИС «Гость Тувы», Многосайтовость, ГИС ГМП, Официальный портал Республики Тыва, РГУ,  АИС МФЦ, АСУ Государственными программами и проектами Республики Тыва, Дневник.ру,  ГИС УСМТ (Минсельхоз), ГИС Ипра (Минтруд), Доступная среда (Минтруд) , Ка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</w:rPr>
        <w:t xml:space="preserve">тарсис (Минтруд) и другие). </w:t>
      </w:r>
      <w:r>
        <w:rPr>
          <w:color w:val="000000" w:themeColor="text1"/>
        </w:rPr>
      </w:r>
      <w:r/>
    </w:p>
    <w:p>
      <w:pPr>
        <w:ind w:left="0" w:right="0" w:firstLine="0"/>
        <w:spacing w:after="0" w:line="229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708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Проводятся работы по сопровождению: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коммутационного оборудования, 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структурированной кабельной сети,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серверного оборудования на физическом уровне,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информационных систем и технологий виртуализации.</w:t>
      </w:r>
      <w:r>
        <w:rPr>
          <w:color w:val="000000" w:themeColor="text1"/>
        </w:rPr>
      </w:r>
      <w:r/>
    </w:p>
    <w:p>
      <w:pPr>
        <w:ind w:left="0" w:right="0"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2024 году для Центра обработки данных Министерства цифрового развития Республики Тыва было приобретено 4 сервера и 1 сервер  хранения данных отечественного производства. На базе отечественного программного обеспечения были развернуты 2 информационные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системы, а также 2 системы были перенесены на облачный сервер ООО «СИБ» в г. Новосибирске, на отечественном оборудовании и ПО. </w:t>
      </w:r>
      <w:r/>
    </w:p>
    <w:p>
      <w:pPr>
        <w:ind w:left="0" w:right="0"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настоящее врем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я имеется нехватка серверных мощностей, ресурсы ЦОДа заняты практически на 80%, также имеется необходимость замены устаревшего серверного оборудования иностранного производства, которое не подходит по требования предъявляемым к информационной безопасности.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В связи с чем, имеется необходимость приобретения минимум 4 серверов и 1 сервера хранения данных в 2025 году.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Информационная безопасность и импортозамещение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rPr>
          <w:rFonts w:ascii="Liberation Sans" w:hAnsi="Liberation Sans" w:eastAsia="Liberation Sans" w:cs="Liberation Sans"/>
          <w:color w:val="000000"/>
          <w:sz w:val="20"/>
          <w:szCs w:val="2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Сотрудниками ЦИТ проводились следующие работы:</w:t>
      </w: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sz w:val="20"/>
          <w:szCs w:val="20"/>
          <w:highlight w:val="none"/>
        </w:rPr>
      </w:r>
      <w:r/>
    </w:p>
    <w:p>
      <w:pPr>
        <w:numPr>
          <w:ilvl w:val="0"/>
          <w:numId w:val="9"/>
        </w:numPr>
        <w:ind w:left="0" w:right="0" w:firstLine="0"/>
        <w:jc w:val="both"/>
        <w:spacing w:before="0" w:after="0" w:line="229" w:lineRule="atLeast"/>
        <w:tabs>
          <w:tab w:val="left" w:pos="709" w:leader="none"/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Сопровождение защищенной сети ViPNet  2281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(клиенты, координаторы), всего  780 клиентов, 3 координатора HW1000;</w:t>
      </w:r>
      <w:r/>
    </w:p>
    <w:p>
      <w:pPr>
        <w:numPr>
          <w:ilvl w:val="0"/>
          <w:numId w:val="8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Сопровождение межсетевых экранов </w:t>
      </w:r>
      <w:r/>
    </w:p>
    <w:p>
      <w:pPr>
        <w:numPr>
          <w:ilvl w:val="0"/>
          <w:numId w:val="8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Сопровождение системы мониторинга трафика на базе сенсоров IDS, сервера TIAS; </w:t>
      </w:r>
      <w:r/>
    </w:p>
    <w:p>
      <w:pPr>
        <w:numPr>
          <w:ilvl w:val="0"/>
          <w:numId w:val="8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Реагирование и отработка инцидентов ИБ по результатам анализа трафика в рамках соглашения с АО «Перспективный мониторинг» и НКЦКИ;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/>
    </w:p>
    <w:p>
      <w:pPr>
        <w:numPr>
          <w:ilvl w:val="0"/>
          <w:numId w:val="10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Актуализация баз антивирусного ПО на АРМ и серверах;</w:t>
      </w:r>
      <w:r/>
    </w:p>
    <w:p>
      <w:pPr>
        <w:numPr>
          <w:ilvl w:val="0"/>
          <w:numId w:val="10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Резервное копирование ГИС;</w:t>
      </w:r>
      <w:r/>
    </w:p>
    <w:p>
      <w:pPr>
        <w:numPr>
          <w:ilvl w:val="0"/>
          <w:numId w:val="10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Актуализация ОРД;</w:t>
      </w:r>
      <w:r/>
    </w:p>
    <w:p>
      <w:pPr>
        <w:numPr>
          <w:ilvl w:val="0"/>
          <w:numId w:val="10"/>
        </w:numPr>
        <w:jc w:val="both"/>
        <w:spacing w:before="0" w:after="0" w:line="229" w:lineRule="atLeast"/>
        <w:tabs>
          <w:tab w:val="left" w:pos="727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Переход на отечественное ПО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</w:t>
      </w:r>
      <w:r/>
    </w:p>
    <w:p>
      <w:pPr>
        <w:ind w:left="0" w:right="0" w:firstLine="566"/>
        <w:jc w:val="both"/>
        <w:spacing w:after="0" w:line="229" w:lineRule="atLeast"/>
        <w:tabs>
          <w:tab w:val="left" w:pos="727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ViPNet сети 2281 обновлены справочники и ключи, проведена ревизия настроек координаторов.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 Всего занято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859 лицензий из 1055.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 начала  2024 года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 ЦОДе министерства цифрового развития Республики Тыва по данным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перспективного мониторинга (Incident Management)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было выявлено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38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компьютерных инцидентов, ни них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критических, произошедших в марте 2024 года, это успешные кибератаки на ресурсы защищаемой сети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путем компрометации серверов компании - разработчика «Смарт Консалтинг»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осуществляющей работу в рамках сервисного сопровождения следующих систем: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«Автоматизированная информационная система автоматизации деятельности многофункциональных центров предоставления государственных и муниципальных услуг Республики Тыва» (АИС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МФЦ)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  СМЭВ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(Digit МЭВ). </w:t>
      </w:r>
      <w:r>
        <w:rPr>
          <w:sz w:val="28"/>
        </w:rPr>
      </w:r>
      <w:r/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результате данной кибератаки работоспособность вышеуказанных систем была повреждена, все имеющиеся данные были повреждены в связи с чем проведена большая работа по созданию указанных  ИС практически с нуля.</w:t>
      </w:r>
      <w:r/>
    </w:p>
    <w:p>
      <w:pPr>
        <w:ind w:left="0" w:right="0" w:firstLine="708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Справочно: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jc w:val="left"/>
        <w:spacing w:after="0" w:line="229" w:lineRule="atLeast"/>
        <w:rPr>
          <w:rFonts w:ascii="Liberation Sans" w:hAnsi="Liberation Sans" w:eastAsia="Liberation Sans" w:cs="Liberation Sans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44687" cy="1595350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332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944685" cy="1595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4096;o:allowoverlap:true;o:allowincell:true;mso-position-horizontal-relative:text;margin-left:0.0pt;mso-position-horizontal:absolute;mso-position-vertical-relative:text;margin-top:0.0pt;mso-position-vertical:absolute;width:231.9pt;height:125.6pt;mso-wrap-distance-left:9.1pt;mso-wrap-distance-top:0.0pt;mso-wrap-distance-right:9.1pt;mso-wrap-distance-bottom:0.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sz w:val="20"/>
          <w:szCs w:val="20"/>
        </w:rPr>
      </w:r>
      <w:r/>
    </w:p>
    <w:p>
      <w:pPr>
        <w:ind w:left="0" w:right="0" w:firstLine="708"/>
        <w:spacing w:after="0" w:line="229" w:lineRule="atLeas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4"/>
        </w:rPr>
        <w:t xml:space="preserve">По уровню важности:</w:t>
      </w:r>
      <w:r>
        <w:rPr>
          <w:b/>
          <w:bCs/>
        </w:rPr>
      </w:r>
      <w:r/>
    </w:p>
    <w:p>
      <w:pPr>
        <w:ind w:left="0" w:right="0" w:firstLine="708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0"/>
        <w:jc w:val="both"/>
        <w:spacing w:after="0" w:line="229" w:lineRule="atLeast"/>
        <w:tabs>
          <w:tab w:val="left" w:pos="727" w:leader="none"/>
        </w:tabs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Критического уровня важности – 5,26%, высокого уровня важности – 21,05%, среднего уровня важности – 36,84% и низкого уровня важности – 36,84%. </w:t>
      </w:r>
      <w:r>
        <w:rPr>
          <w:color w:val="000000" w:themeColor="text1"/>
        </w:rPr>
      </w:r>
      <w:r/>
    </w:p>
    <w:p>
      <w:pPr>
        <w:ind w:left="0" w:right="0" w:firstLine="0"/>
        <w:spacing w:after="0" w:line="229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 </w:t>
      </w:r>
      <w:r>
        <w:rPr>
          <w:color w:val="000000" w:themeColor="text1"/>
          <w:highlight w:val="none"/>
        </w:rPr>
      </w:r>
      <w:r/>
    </w:p>
    <w:p>
      <w:pPr>
        <w:ind w:left="0" w:right="0" w:firstLine="0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r>
        <w:rPr>
          <w:color w:val="000000" w:themeColor="text1"/>
        </w:rPr>
      </w:r>
      <w:r/>
    </w:p>
    <w:p>
      <w:pPr>
        <w:ind w:left="0" w:right="0" w:firstLine="709"/>
        <w:jc w:val="center"/>
        <w:spacing w:after="0" w:line="229" w:lineRule="atLeast"/>
        <w:rPr>
          <w:rFonts w:ascii="Liberation Sans" w:hAnsi="Liberation Sans" w:eastAsia="Liberation Sans" w:cs="Liberation Sans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0"/>
          <w:szCs w:val="20"/>
        </w:rPr>
      </w:r>
      <w:r/>
    </w:p>
    <w:p>
      <w:pPr>
        <w:ind w:left="0" w:right="0" w:firstLine="709"/>
        <w:jc w:val="both"/>
        <w:spacing w:after="0" w:line="229" w:lineRule="atLeast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3024327</wp:posOffset>
                </wp:positionH>
                <wp:positionV relativeFrom="paragraph">
                  <wp:posOffset>81535</wp:posOffset>
                </wp:positionV>
                <wp:extent cx="2864507" cy="1701474"/>
                <wp:effectExtent l="0" t="0" r="0" b="0"/>
                <wp:wrapSquare wrapText="bothSides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60240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864505" cy="1701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5120;o:allowoverlap:true;o:allowincell:true;mso-position-horizontal-relative:text;margin-left:238.1pt;mso-position-horizontal:absolute;mso-position-vertical-relative:text;margin-top:6.4pt;mso-position-vertical:absolute;width:225.6pt;height:134.0pt;mso-wrap-distance-left:9.1pt;mso-wrap-distance-top:0.0pt;mso-wrap-distance-right:9.1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i/>
          <w:color w:val="000000" w:themeColor="text1"/>
          <w:sz w:val="24"/>
        </w:rPr>
        <w:t xml:space="preserve">По типам инцидентов: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Событие не связано с компьютерной атакой – 17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</w:rPr>
        <w:t xml:space="preserve"> 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Сетевое сканирование – 8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Нарушение политики ИБ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– 6 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t xml:space="preserve">З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</w:rPr>
        <w:t xml:space="preserve">аражение ВПО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– 2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Неудачные попытки авторизации – 2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Другие</w:t>
      </w: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 – 2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after="0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Попытки эксплуатации уязвимости – 1 </w:t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229" w:lineRule="atLeast"/>
        <w:rPr>
          <w:rFonts w:ascii="Times New Roman" w:hAnsi="Times New Roman" w:eastAsia="Times New Roman" w:cs="Times New Roman"/>
          <w:color w:val="0070c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70c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70c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настоящее время имеется необходимость продления лицензий и сертификатов на отечественные СЗИ СКЗИ (Антивирус, сертификаты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ViPNet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систем защиты от несанкционированного доступа, анализа и выявления вредон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осных объектив на почтовых серверах),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целях своевременного обнаружения и устранения инцидентов, необходимо продление сертификатов «Госсопка»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(Государственная система обнаружения, предупреждения и ликвидации последствий компьютерных атак, создаваемая в целях предотвращения и устранения послед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</w:rPr>
        <w:t xml:space="preserve">ствий компьютерных атак на критическую информационную инфраструктуру Российской Федерации)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примерная стоимость  – 15 000 000  рублей.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tabs>
          <w:tab w:val="left" w:pos="993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Всего продлению подлежат сертификаты 3-х ЦОД (Правительство, Министерство цифрового развития, Министерство здравоохранения Республики Тыва), в настоящее время срок сертификатов истек, в связи с чем поставщик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может приостановить работы по сканированию ЦОДов, что может привести к успешным кибератакам на инфраструктуру и ее повреждению. </w:t>
      </w:r>
      <w:r/>
    </w:p>
    <w:p>
      <w:pPr>
        <w:ind w:left="0" w:right="0" w:firstLine="709"/>
        <w:jc w:val="both"/>
        <w:spacing w:after="0" w:line="240" w:lineRule="auto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Сотрудниками КП РТ «ЦИТ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РТ» совместно с Департаментом 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нформационной безопасности и обеспечения деятельности Ситуационного центра Главы Республики Тыва (далее – ДИБ) в соответствии с утвержденным планом проведены выездные проверки органов исполнительной власти и органов местного самоуправления Республики Тыва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части соблюдения мер информационной безопасности.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Среди основных нарушений ИБ выявлены: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не назначение ответственных лиц, нарушение парольной защиты, отсутствия систематического сканирования АРМ антивирусным программным обеспечением.</w:t>
      </w:r>
      <w:r>
        <w:t xml:space="preserve"> </w:t>
      </w:r>
      <w:r>
        <w:rPr>
          <w:sz w:val="22"/>
        </w:rPr>
      </w:r>
      <w:r/>
    </w:p>
    <w:p>
      <w:pPr>
        <w:ind w:left="0" w:right="0"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09"/>
        <w:jc w:val="both"/>
        <w:spacing w:after="0" w:line="240" w:lineRule="auto"/>
        <w:rPr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12</w:t>
      </w:r>
      <w:r/>
      <w:r>
        <w:rPr>
          <w:sz w:val="22"/>
          <w:highlight w:val="none"/>
        </w:rPr>
      </w:r>
      <w:r>
        <w:rPr>
          <w:sz w:val="22"/>
          <w:highlight w:val="none"/>
        </w:rPr>
      </w:r>
    </w:p>
    <w:p>
      <w:pPr>
        <w:ind w:left="0" w:right="0" w:firstLine="709"/>
        <w:jc w:val="both"/>
        <w:spacing w:after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2"/>
          <w:highlight w:val="none"/>
        </w:rPr>
      </w:r>
      <w:r>
        <w:rPr>
          <w:sz w:val="22"/>
          <w:highlight w:val="non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 рамках работы по импортозамещению сотрудниками КП РТ «ЦИТ РТ» отечественная операционная система Astra Linux установлена на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99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рабочем месте в органах исполнительной власти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(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по плану -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757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, остаток -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</w:rPr>
        <w:t xml:space="preserve">658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разработаны инструкции для пользователей по установке принтеров и созданию сетевой папки и методический материал по установке Astra Linux для ответственных специалистов ОИВ.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Также следует отметить, что ИТ специалистами в органах исполнительной власти работа по импортозамещению операционных систем не ведется.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/>
    </w:p>
    <w:p>
      <w:pPr>
        <w:ind w:left="0" w:right="0" w:firstLine="0"/>
        <w:jc w:val="both"/>
        <w:spacing w:after="0" w:line="229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Сопровождение региональных мероприятий: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numPr>
          <w:ilvl w:val="0"/>
          <w:numId w:val="1"/>
        </w:numPr>
        <w:jc w:val="both"/>
        <w:spacing w:before="0"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Онлайн трансляции различных мероприятий в сеть Интернет, а также на светодиодные экраны г. Кызыл.  Всего проведено мероприятий по осуществлению трансляций значимых мероприятий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- 18</w:t>
      </w:r>
      <w:r>
        <w:rPr>
          <w:rFonts w:ascii="Liberation Sans" w:hAnsi="Liberation Sans" w:eastAsia="Liberation Sans" w:cs="Liberation Sans"/>
          <w:color w:val="ff0000"/>
          <w:sz w:val="20"/>
        </w:rPr>
        <w:t xml:space="preserve">;</w:t>
      </w:r>
      <w:r/>
    </w:p>
    <w:p>
      <w:pPr>
        <w:numPr>
          <w:ilvl w:val="0"/>
          <w:numId w:val="4"/>
        </w:numPr>
        <w:jc w:val="both"/>
        <w:spacing w:before="0"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Разработано порядка 30</w:t>
      </w:r>
      <w:r>
        <w:rPr>
          <w:rFonts w:ascii="Times New Roman" w:hAnsi="Times New Roman" w:eastAsia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дизайн макетов, баннеров, приглашений на различные мероприятия регионального значения</w:t>
      </w:r>
      <w:r/>
    </w:p>
    <w:p>
      <w:pPr>
        <w:ind w:left="0" w:right="0" w:firstLine="0"/>
        <w:jc w:val="both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sz w:val="20"/>
        </w:rPr>
        <w:t xml:space="preserve"> </w:t>
      </w:r>
      <w:r/>
    </w:p>
    <w:p>
      <w:pPr>
        <w:ind w:left="0" w:right="0"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13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center"/>
        <w:spacing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 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Приоритетные направления до конца 2024 года</w:t>
      </w:r>
      <w:r>
        <w:rPr>
          <w:rFonts w:ascii="Times New Roman" w:hAnsi="Times New Roman" w:eastAsia="Times New Roman" w:cs="Times New Roman"/>
          <w:b/>
          <w:color w:val="000000"/>
          <w:sz w:val="28"/>
        </w:rPr>
      </w:r>
      <w:r/>
    </w:p>
    <w:p>
      <w:pPr>
        <w:ind w:left="0" w:right="0" w:firstLine="708"/>
        <w:jc w:val="both"/>
        <w:spacing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Сотрудниками КП РТ «ЦИТ РТ» проведены работы по уста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новке и запуску  антенно-мачтового сооружения по средством которого обеспечен доступ в сеть интернет в  с. Кара-Холь Бай-Тайгинского кожууна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целях реализации послания Главы Республики Тыва ведется разработка социального проекта «Карта жителя Республики Тыва», в настоящее время подготовительные работы совместно с разработчиками завершены, планируется тестовый запуск в 4 квартале текущего года.</w:t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Запуск региональной инфраструктуры электронного правительства (далее – РИЭП). В 2023 году был завершен один из этапов развития РИЭП в части создания оптико-волоконной защищенной сети по г. Кызылу, для подключения органов исполнительной власти Республики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Тыва (всего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 22 адреса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).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Проводится работа по подключению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</w:rPr>
        <w:t xml:space="preserve">28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ОИВ  к РИЭП, проблемным вопросом для реализации данного проекта остается отсутствие финансовых средств для приобретения дополнительного оборудования (источники бесперебойного питания, коммутационное оборудование).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Полностью перешли на РИЭП Министерство цифрового развития и СГЖИ.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29" w:lineRule="atLeast"/>
        <w:tabs>
          <w:tab w:val="left" w:pos="1134" w:leader="none"/>
        </w:tabs>
        <w:rPr>
          <w:sz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Запуск нового официального портала Правительства Республики Тыва, технические работы завершены, в настоящее время  НПА проходит согласование в Правительстве Республики Тыва.</w:t>
      </w:r>
      <w:r/>
    </w:p>
    <w:p>
      <w:pPr>
        <w:ind w:left="0" w:righ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Выход на рынок оказания услуг, заключение контрактов с организациями для получения прибыли, в связи с прекращением финансирования из бюджета Республики Тыва, сохранение квалифицированных специалистов в условиях проблем с финансированием оплаты труда.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708"/>
        <w:jc w:val="left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Слайд 14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 Кадровая ситуация.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ind w:left="0" w:right="0" w:firstLine="0"/>
        <w:jc w:val="center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Кадровая ситуация на 2024 год:</w:t>
      </w:r>
      <w:r>
        <w:rPr>
          <w:color w:val="000000" w:themeColor="text1"/>
        </w:rPr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093"/>
        <w:gridCol w:w="126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по штатному расписанию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31 ед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фактически работающих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23 чел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фактическая численность сотрудников включая сотрудников в декретном отпуске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28 чел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В отпуске по уходу за ребенком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5 чел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9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В административном длительном отпуске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6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 чел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29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color w:val="000000" w:themeColor="text1"/>
          <w:highlight w:val="none"/>
        </w:rPr>
      </w:r>
      <w:r/>
    </w:p>
    <w:p>
      <w:pPr>
        <w:ind w:left="0" w:right="0" w:firstLine="708"/>
        <w:jc w:val="both"/>
        <w:spacing w:after="0" w:line="229" w:lineRule="atLeast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Всего за 2024 год</w:t>
      </w:r>
      <w:r>
        <w:rPr>
          <w:color w:val="000000" w:themeColor="text1"/>
          <w:highlight w:val="none"/>
        </w:rPr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253"/>
        <w:gridCol w:w="210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уволено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26 чел.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принято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13чел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Коэффициент текучести кадров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9,6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По образованию: </w:t>
      </w:r>
      <w:r>
        <w:rPr>
          <w:color w:val="000000" w:themeColor="text1"/>
        </w:rPr>
      </w:r>
      <w:r/>
    </w:p>
    <w:tbl>
      <w:tblPr>
        <w:tblStyle w:val="69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86"/>
        <w:gridCol w:w="4568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С высшим образованием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27 человек (97%)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со средним образованием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68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</w:rPr>
              <w:t xml:space="preserve">1 человек (3%)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0" w:right="0" w:firstLine="0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 </w:t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235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highlight w:val="white"/>
        </w:rPr>
        <w:t xml:space="preserve">Во исполнение распоряжения Правительства Республики Тыва от 16.11.23 г. № 641-р «О мерах по реформированию унитарных предприятий Республики Тыва до 1 января 2025 года»,  согласно плана-графика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КП РТ «ЦИТ РТ» будет реорганизовано в общество с ограниченной ответственностью. 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 Процедура реорганизации будет завершена в срок до конца сентября 2024г</w:t>
      </w:r>
      <w:r>
        <w:rPr>
          <w:rFonts w:ascii="Times New Roman" w:hAnsi="Times New Roman" w:eastAsia="Times New Roman" w:cs="Times New Roman"/>
          <w:color w:val="000000" w:themeColor="text1"/>
          <w:sz w:val="28"/>
        </w:rPr>
        <w:t xml:space="preserve">.</w:t>
      </w:r>
      <w:r>
        <w:rPr>
          <w:highlight w:val="none"/>
        </w:rPr>
      </w:r>
      <w:r/>
    </w:p>
    <w:p>
      <w:pPr>
        <w:ind w:left="0" w:right="0" w:firstLine="708"/>
        <w:jc w:val="both"/>
        <w:spacing w:after="0" w:line="6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связи с переходом в общество с ограниченной ответственностью Правительство Республики Тыва с 01 октября 2024 года прекращает финансирование организации из бюджета республики, в связи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вышеизложенным,  услуги предоставляемые организацией, будут оказываться на коммерческой основе. </w:t>
      </w:r>
      <w:r>
        <w:rPr>
          <w:sz w:val="22"/>
        </w:rPr>
      </w:r>
      <w:r/>
    </w:p>
    <w:p>
      <w:pPr>
        <w:ind w:left="0" w:right="0" w:firstLine="708"/>
        <w:jc w:val="both"/>
        <w:spacing w:after="0" w:line="229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</w:rPr>
      </w:r>
      <w:r>
        <w:rPr>
          <w:color w:val="000000" w:themeColor="text1"/>
        </w:rPr>
      </w:r>
      <w:r/>
    </w:p>
    <w:p>
      <w:pPr>
        <w:ind w:left="0" w:right="0" w:firstLine="708"/>
        <w:jc w:val="both"/>
        <w:spacing w:after="0" w:line="65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Доклад окончен,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t xml:space="preserve"> спасибо за внимание!</w:t>
      </w:r>
      <w:r/>
    </w:p>
    <w:sectPr>
      <w:footnotePr/>
      <w:endnotePr/>
      <w:type w:val="nextPage"/>
      <w:pgSz w:w="11906" w:h="16838" w:orient="portrait"/>
      <w:pgMar w:top="851" w:right="850" w:bottom="68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0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2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2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0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2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2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hint="default" w:ascii="Symbol" w:hAnsi="Symbol" w:eastAsia="Symbol" w:cs="Symbol"/>
      </w:rPr>
    </w:lvl>
    <w:lvl w:ilvl="1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0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0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02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2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2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67">
    <w:name w:val="Heading 1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2"/>
    <w:basedOn w:val="666"/>
    <w:next w:val="842"/>
    <w:link w:val="669"/>
    <w:uiPriority w:val="9"/>
    <w:unhideWhenUsed/>
    <w:qFormat/>
    <w:rPr>
      <w:rFonts w:ascii="Liberation Sans" w:hAnsi="Liberation Sans" w:eastAsia="Liberation Sans" w:cs="Liberation Sans"/>
    </w:rPr>
  </w:style>
  <w:style w:type="character" w:styleId="669">
    <w:name w:val="Heading 2 Char"/>
    <w:link w:val="668"/>
    <w:uiPriority w:val="9"/>
    <w:rPr>
      <w:rFonts w:ascii="Liberation Sans" w:hAnsi="Liberation Sans" w:eastAsia="Liberation Sans" w:cs="Liberation Sans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71">
    <w:name w:val="Heading 3 Char"/>
    <w:link w:val="670"/>
    <w:uiPriority w:val="9"/>
    <w:rPr>
      <w:rFonts w:ascii="Liberation Sans" w:hAnsi="Liberation Sans" w:cs="Liberation Sans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Liberation Sans" w:hAnsi="Liberation Sans" w:eastAsia="Liberation Sans" w:cs="Liberation Sans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Liberation Sans" w:hAnsi="Liberation Sans" w:eastAsia="Liberation Sans" w:cs="Liberation Sans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Liberation Sans" w:hAnsi="Liberation Sans" w:eastAsia="Liberation Sans" w:cs="Liberation Sans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Liberation Sans" w:hAnsi="Liberation Sans" w:eastAsia="Liberation Sans" w:cs="Liberation Sans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Liberation Sans" w:hAnsi="Liberation Sans" w:eastAsia="Liberation Sans" w:cs="Liberation Sans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2024-09-19T05:54:38Z</dcterms:modified>
</cp:coreProperties>
</file>